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3332"/>
        <w:gridCol w:w="2493"/>
      </w:tblGrid>
      <w:tr w:rsidR="00B65D4D">
        <w:trPr>
          <w:trHeight w:val="540"/>
        </w:trPr>
        <w:tc>
          <w:tcPr>
            <w:tcW w:w="3295" w:type="dxa"/>
          </w:tcPr>
          <w:p w:rsidR="00B65D4D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Associazione costruttori</w:t>
            </w:r>
          </w:p>
          <w:p w:rsidR="00B65D4D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italiani macchine</w:t>
            </w:r>
          </w:p>
          <w:p w:rsidR="00B65D4D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ed accessori</w:t>
            </w:r>
          </w:p>
          <w:p w:rsidR="00B65D4D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 la lavorazione del legno</w:t>
            </w:r>
          </w:p>
          <w:p w:rsidR="00B65D4D" w:rsidRDefault="00D5277F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sz w:val="16"/>
              </w:rPr>
            </w:pPr>
          </w:p>
          <w:p w:rsidR="00B65D4D" w:rsidRPr="00597D37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i/>
                <w:sz w:val="16"/>
              </w:rPr>
            </w:pPr>
            <w:r w:rsidRPr="00597D37">
              <w:rPr>
                <w:rFonts w:ascii="Helvetica" w:hAnsi="Helvetica"/>
                <w:i/>
                <w:sz w:val="16"/>
              </w:rPr>
              <w:t>Italian woodworking</w:t>
            </w:r>
          </w:p>
          <w:p w:rsidR="00B65D4D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rFonts w:ascii="Helvetica" w:hAnsi="Helvetica"/>
                <w:i/>
                <w:sz w:val="16"/>
                <w:lang w:val="en-GB"/>
              </w:rPr>
            </w:pPr>
            <w:r>
              <w:rPr>
                <w:rFonts w:ascii="Helvetica" w:hAnsi="Helvetica"/>
                <w:i/>
                <w:sz w:val="16"/>
                <w:lang w:val="en-GB"/>
              </w:rPr>
              <w:t>machinery and tools</w:t>
            </w:r>
          </w:p>
          <w:p w:rsidR="00B65D4D" w:rsidRPr="00597D37" w:rsidRDefault="00CB6849" w:rsidP="00B65D4D">
            <w:pPr>
              <w:tabs>
                <w:tab w:val="left" w:pos="770"/>
              </w:tabs>
              <w:ind w:left="770" w:right="212"/>
              <w:jc w:val="both"/>
              <w:rPr>
                <w:lang w:val="en-GB"/>
              </w:rPr>
            </w:pPr>
            <w:r w:rsidRPr="00597D37">
              <w:rPr>
                <w:rFonts w:ascii="Helvetica" w:hAnsi="Helvetica"/>
                <w:i/>
                <w:sz w:val="16"/>
                <w:lang w:val="en-GB"/>
              </w:rPr>
              <w:t>manufacturers’ association</w:t>
            </w:r>
          </w:p>
        </w:tc>
        <w:tc>
          <w:tcPr>
            <w:tcW w:w="3332" w:type="dxa"/>
          </w:tcPr>
          <w:p w:rsidR="00B65D4D" w:rsidRDefault="00CB6849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1° Strada - Palazzo F3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 +39 02 89210200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 +39 02 8259009</w:t>
            </w:r>
          </w:p>
          <w:p w:rsidR="00B65D4D" w:rsidRDefault="00CB6849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:rsidR="00B65D4D" w:rsidRDefault="00CB6849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:rsidR="00482962" w:rsidRDefault="00091160" w:rsidP="00B65D4D">
            <w:pPr>
              <w:ind w:right="212"/>
              <w:jc w:val="right"/>
              <w:rPr>
                <w:rFonts w:ascii="Helvetica" w:hAnsi="Helvetica"/>
                <w:b/>
                <w:sz w:val="28"/>
              </w:rPr>
            </w:pPr>
            <w:r w:rsidRPr="00E91129">
              <w:rPr>
                <w:rFonts w:ascii="Helvetica" w:hAnsi="Helvetica"/>
                <w:b/>
                <w:w w:val="108"/>
                <w:kern w:val="22"/>
                <w:sz w:val="28"/>
                <w:lang w:val="en-US"/>
              </w:rPr>
              <w:t>press office</w:t>
            </w:r>
          </w:p>
          <w:p w:rsidR="00482962" w:rsidRDefault="00CB6849" w:rsidP="00B33562">
            <w:pPr>
              <w:ind w:left="50" w:right="170" w:firstLine="12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Helvetica" w:hAnsi="Helvetica"/>
                <w:sz w:val="14"/>
              </w:rPr>
              <w:t xml:space="preserve">                        13 </w:t>
            </w:r>
            <w:r w:rsidR="00091160">
              <w:rPr>
                <w:rFonts w:ascii="Helvetica" w:hAnsi="Helvetica"/>
                <w:sz w:val="14"/>
              </w:rPr>
              <w:t>May</w:t>
            </w:r>
            <w:r>
              <w:rPr>
                <w:rFonts w:ascii="Helvetica" w:hAnsi="Helvetica"/>
                <w:sz w:val="14"/>
              </w:rPr>
              <w:t xml:space="preserve"> 2014</w:t>
            </w:r>
          </w:p>
          <w:p w:rsidR="00B65D4D" w:rsidRDefault="00D5277F" w:rsidP="00B65D4D">
            <w:pPr>
              <w:ind w:right="212"/>
              <w:jc w:val="right"/>
              <w:rPr>
                <w:rFonts w:ascii="Helvetica" w:hAnsi="Helvetica"/>
                <w:b/>
                <w:sz w:val="28"/>
              </w:rPr>
            </w:pPr>
          </w:p>
          <w:p w:rsidR="00B65D4D" w:rsidRDefault="00D5277F" w:rsidP="00B65D4D">
            <w:pPr>
              <w:ind w:right="212"/>
              <w:jc w:val="right"/>
              <w:rPr>
                <w:rFonts w:ascii="Gill Sans MT" w:hAnsi="Gill Sans MT"/>
                <w:b/>
                <w:sz w:val="14"/>
              </w:rPr>
            </w:pPr>
          </w:p>
        </w:tc>
      </w:tr>
    </w:tbl>
    <w:p w:rsidR="00B65D4D" w:rsidRPr="00E315D2" w:rsidRDefault="00D5277F" w:rsidP="00B65D4D">
      <w:pPr>
        <w:jc w:val="both"/>
        <w:rPr>
          <w:rFonts w:ascii="Arial" w:hAnsi="Arial"/>
          <w:sz w:val="20"/>
        </w:rPr>
      </w:pPr>
    </w:p>
    <w:p w:rsidR="00B65D4D" w:rsidRPr="00E315D2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</w:rPr>
      </w:pPr>
    </w:p>
    <w:p w:rsidR="00B65D4D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</w:rPr>
      </w:pPr>
    </w:p>
    <w:p w:rsidR="00B65D4D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</w:rPr>
      </w:pPr>
    </w:p>
    <w:p w:rsidR="00B65D4D" w:rsidRPr="00EF373A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</w:rPr>
      </w:pPr>
    </w:p>
    <w:p w:rsidR="00B65D4D" w:rsidRPr="00F73A1C" w:rsidRDefault="00CB6849" w:rsidP="00C35366">
      <w:pPr>
        <w:tabs>
          <w:tab w:val="left" w:pos="14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F0C8E">
        <w:rPr>
          <w:rFonts w:ascii="Arial" w:hAnsi="Arial"/>
          <w:b/>
          <w:color w:val="FF0000"/>
          <w:sz w:val="20"/>
        </w:rPr>
        <w:t xml:space="preserve">                 </w:t>
      </w:r>
    </w:p>
    <w:p w:rsidR="00B65D4D" w:rsidRPr="00F73A1C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</w:rPr>
      </w:pPr>
    </w:p>
    <w:p w:rsidR="00B65D4D" w:rsidRPr="00F73A1C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b/>
          <w:sz w:val="20"/>
        </w:rPr>
      </w:pPr>
      <w:r w:rsidRPr="00E91129">
        <w:rPr>
          <w:rFonts w:ascii="Arial" w:hAnsi="Arial"/>
          <w:b/>
          <w:sz w:val="20"/>
          <w:lang w:val="en-US"/>
        </w:rPr>
        <w:t>WOODWORKING MACHINERY:</w:t>
      </w:r>
      <w:r w:rsidR="00CB6849" w:rsidRPr="00F73A1C">
        <w:rPr>
          <w:rFonts w:ascii="Arial" w:hAnsi="Arial"/>
          <w:b/>
          <w:sz w:val="20"/>
        </w:rPr>
        <w:t xml:space="preserve"> </w:t>
      </w:r>
      <w:r w:rsidRPr="00E91129">
        <w:rPr>
          <w:rFonts w:ascii="Arial" w:hAnsi="Arial"/>
          <w:b/>
          <w:sz w:val="20"/>
          <w:lang w:val="en-US"/>
        </w:rPr>
        <w:t>ITALY BETTER T</w:t>
      </w:r>
      <w:bookmarkStart w:id="0" w:name="_GoBack"/>
      <w:bookmarkEnd w:id="0"/>
      <w:r w:rsidR="0050525F">
        <w:rPr>
          <w:rFonts w:ascii="Arial" w:hAnsi="Arial"/>
          <w:b/>
          <w:sz w:val="20"/>
          <w:lang w:val="en-US"/>
        </w:rPr>
        <w:t xml:space="preserve">HAN EXPORT </w:t>
      </w:r>
      <w:r w:rsidRPr="00E91129">
        <w:rPr>
          <w:rFonts w:ascii="Arial" w:hAnsi="Arial"/>
          <w:b/>
          <w:sz w:val="20"/>
          <w:lang w:val="en-US"/>
        </w:rPr>
        <w:t xml:space="preserve">               </w:t>
      </w:r>
      <w:r w:rsidR="005D308C">
        <w:rPr>
          <w:rFonts w:ascii="Arial" w:hAnsi="Arial"/>
          <w:b/>
          <w:sz w:val="20"/>
          <w:lang w:val="en-US"/>
        </w:rPr>
        <w:t xml:space="preserve">                           </w:t>
      </w:r>
      <w:r w:rsidR="005D308C" w:rsidRPr="005D308C">
        <w:rPr>
          <w:rFonts w:ascii="Arial" w:hAnsi="Arial"/>
          <w:b/>
          <w:color w:val="FF0000"/>
          <w:sz w:val="20"/>
          <w:lang w:val="en-US"/>
        </w:rPr>
        <w:t xml:space="preserve"> </w:t>
      </w:r>
      <w:r w:rsidRPr="005D308C">
        <w:rPr>
          <w:rFonts w:ascii="Arial" w:hAnsi="Arial"/>
          <w:b/>
          <w:color w:val="FF0000"/>
          <w:sz w:val="20"/>
          <w:lang w:val="en-US"/>
        </w:rPr>
        <w:t>05</w:t>
      </w:r>
    </w:p>
    <w:p w:rsidR="00B65D4D" w:rsidRPr="00F73A1C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b/>
          <w:sz w:val="20"/>
        </w:rPr>
      </w:pPr>
    </w:p>
    <w:p w:rsidR="00B65D4D" w:rsidRDefault="00D5277F" w:rsidP="00C35366">
      <w:pPr>
        <w:widowControl w:val="0"/>
        <w:tabs>
          <w:tab w:val="left" w:pos="142"/>
        </w:tabs>
        <w:ind w:left="567"/>
        <w:jc w:val="both"/>
        <w:rPr>
          <w:rFonts w:ascii="Arial" w:hAnsi="Arial"/>
          <w:b/>
          <w:bCs/>
          <w:sz w:val="20"/>
          <w:szCs w:val="28"/>
        </w:rPr>
      </w:pPr>
    </w:p>
    <w:p w:rsidR="00C62722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sz w:val="20"/>
          <w:szCs w:val="24"/>
          <w:lang w:val="en-US"/>
        </w:rPr>
        <w:t xml:space="preserve">The </w:t>
      </w:r>
      <w:r w:rsidRPr="00E91129">
        <w:rPr>
          <w:rFonts w:ascii="Arial" w:hAnsi="Arial"/>
          <w:b/>
          <w:sz w:val="20"/>
          <w:szCs w:val="24"/>
          <w:lang w:val="en-US"/>
        </w:rPr>
        <w:t>first quarter 2014</w:t>
      </w:r>
      <w:r w:rsidRPr="00E91129">
        <w:rPr>
          <w:rFonts w:ascii="Arial" w:hAnsi="Arial"/>
          <w:sz w:val="20"/>
          <w:szCs w:val="24"/>
          <w:lang w:val="en-US"/>
        </w:rPr>
        <w:t xml:space="preserve"> is showing some tangible, encouraging signs on the domestic market in Italy.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The feeling is that it is going to take long still, but we can finally talk about “early signs of structural recovery”.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Foreign markets, though slightly shrinking, are still playing a key role for Italian companies, that in recent years have maintained their order volumes thanks to export.</w:t>
      </w:r>
    </w:p>
    <w:p w:rsidR="00C62722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</w:p>
    <w:p w:rsidR="00C62722" w:rsidRPr="006E1E79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sz w:val="20"/>
          <w:szCs w:val="24"/>
          <w:lang w:val="en-US"/>
        </w:rPr>
        <w:t xml:space="preserve">This is the key trend emerging from the results of the traditional </w:t>
      </w:r>
      <w:r w:rsidRPr="00E91129">
        <w:rPr>
          <w:rFonts w:ascii="Arial" w:hAnsi="Arial"/>
          <w:b/>
          <w:sz w:val="20"/>
          <w:szCs w:val="24"/>
          <w:lang w:val="en-US"/>
        </w:rPr>
        <w:t>market survey</w:t>
      </w:r>
      <w:r w:rsidRPr="00E91129">
        <w:rPr>
          <w:rFonts w:ascii="Arial" w:hAnsi="Arial"/>
          <w:sz w:val="20"/>
          <w:szCs w:val="24"/>
          <w:lang w:val="en-US"/>
        </w:rPr>
        <w:t>, carried out by the Acimall Studies office on a statistic sample representing the entire industry.</w:t>
      </w:r>
      <w:r w:rsidR="00CB684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b/>
          <w:sz w:val="20"/>
          <w:szCs w:val="24"/>
          <w:lang w:val="en-US"/>
        </w:rPr>
        <w:t>Orders</w:t>
      </w:r>
      <w:r w:rsidRPr="00E91129">
        <w:rPr>
          <w:rFonts w:ascii="Arial" w:hAnsi="Arial"/>
          <w:sz w:val="20"/>
          <w:szCs w:val="24"/>
          <w:lang w:val="en-US"/>
        </w:rPr>
        <w:t xml:space="preserve"> for the Italian woodworking machinery and tools industry recorded a 0.7 percent increase compared to the same period of last year.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A slight drop, as already mentioned, affected orders from abroad (down by 1.5 percent), as opposed to a significant increase in domestic orders, up by 7.9 percent compared to the first quarter 2013.</w:t>
      </w:r>
    </w:p>
    <w:p w:rsidR="00C62722" w:rsidRPr="006E1E79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sz w:val="20"/>
          <w:szCs w:val="24"/>
          <w:lang w:val="en-US"/>
        </w:rPr>
        <w:t xml:space="preserve">The </w:t>
      </w:r>
      <w:r w:rsidRPr="00E91129">
        <w:rPr>
          <w:rFonts w:ascii="Arial" w:hAnsi="Arial"/>
          <w:b/>
          <w:sz w:val="20"/>
          <w:szCs w:val="24"/>
          <w:lang w:val="en-US"/>
        </w:rPr>
        <w:t>book of orders</w:t>
      </w:r>
      <w:r w:rsidRPr="00E91129">
        <w:rPr>
          <w:rFonts w:ascii="Arial" w:hAnsi="Arial"/>
          <w:sz w:val="20"/>
          <w:szCs w:val="24"/>
          <w:lang w:val="en-US"/>
        </w:rPr>
        <w:t xml:space="preserve"> is at 2.5 months, while </w:t>
      </w:r>
      <w:r w:rsidRPr="00E91129">
        <w:rPr>
          <w:rFonts w:ascii="Arial" w:hAnsi="Arial"/>
          <w:b/>
          <w:sz w:val="20"/>
          <w:szCs w:val="24"/>
          <w:lang w:val="en-US"/>
        </w:rPr>
        <w:t>prices</w:t>
      </w:r>
      <w:r w:rsidRPr="00E91129">
        <w:rPr>
          <w:rFonts w:ascii="Arial" w:hAnsi="Arial"/>
          <w:sz w:val="20"/>
          <w:szCs w:val="24"/>
          <w:lang w:val="en-US"/>
        </w:rPr>
        <w:t xml:space="preserve"> have been growing by 0.6 percent since the beginning of this year.</w:t>
      </w:r>
    </w:p>
    <w:p w:rsidR="00C62722" w:rsidRPr="006E1E79" w:rsidRDefault="00CB6849" w:rsidP="00C35366">
      <w:pPr>
        <w:widowControl w:val="0"/>
        <w:tabs>
          <w:tab w:val="left" w:pos="142"/>
        </w:tabs>
        <w:ind w:left="567"/>
        <w:rPr>
          <w:rFonts w:ascii="Arial" w:hAnsi="Arial"/>
          <w:sz w:val="20"/>
        </w:rPr>
      </w:pPr>
      <w:r w:rsidRPr="006E1E79">
        <w:rPr>
          <w:rFonts w:ascii="Arial" w:hAnsi="Arial"/>
          <w:sz w:val="20"/>
        </w:rPr>
        <w:t> </w:t>
      </w:r>
    </w:p>
    <w:p w:rsidR="00C62722" w:rsidRPr="006E1E79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sz w:val="20"/>
          <w:szCs w:val="24"/>
          <w:lang w:val="en-US"/>
        </w:rPr>
        <w:t xml:space="preserve">Based on the indications of the sample companies, the </w:t>
      </w:r>
      <w:r w:rsidRPr="00E91129">
        <w:rPr>
          <w:rFonts w:ascii="Arial" w:hAnsi="Arial"/>
          <w:b/>
          <w:sz w:val="20"/>
          <w:szCs w:val="24"/>
          <w:lang w:val="en-US"/>
        </w:rPr>
        <w:t>quality survey</w:t>
      </w:r>
      <w:r w:rsidRPr="00E91129">
        <w:rPr>
          <w:rFonts w:ascii="Arial" w:hAnsi="Arial"/>
          <w:sz w:val="20"/>
          <w:szCs w:val="24"/>
          <w:lang w:val="en-US"/>
        </w:rPr>
        <w:t xml:space="preserve"> gave the following results: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50 percent indicated a positive production trend, 32 percent stable and 18 percent decreasing.</w:t>
      </w:r>
      <w:r w:rsidR="00CB684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b/>
          <w:sz w:val="20"/>
          <w:szCs w:val="24"/>
          <w:lang w:val="en-US"/>
        </w:rPr>
        <w:t>Employment</w:t>
      </w:r>
      <w:r w:rsidRPr="00E91129">
        <w:rPr>
          <w:rFonts w:ascii="Arial" w:hAnsi="Arial"/>
          <w:sz w:val="20"/>
          <w:szCs w:val="24"/>
          <w:lang w:val="en-US"/>
        </w:rPr>
        <w:t xml:space="preserve"> is considered stationary by 68 percent of the sample, falling by 27 percent and increasing by 5 percent.</w:t>
      </w:r>
      <w:r w:rsidR="00CB684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b/>
          <w:sz w:val="20"/>
          <w:szCs w:val="24"/>
          <w:lang w:val="en-US"/>
        </w:rPr>
        <w:t>Available stocks</w:t>
      </w:r>
      <w:r w:rsidRPr="00E91129">
        <w:rPr>
          <w:rFonts w:ascii="Arial" w:hAnsi="Arial"/>
          <w:sz w:val="20"/>
          <w:szCs w:val="24"/>
          <w:lang w:val="en-US"/>
        </w:rPr>
        <w:t xml:space="preserve"> were stationary according to 59 percent, decreasing according to 18 percent and growing according to the remaining 23 percent.</w:t>
      </w:r>
    </w:p>
    <w:p w:rsidR="00C62722" w:rsidRPr="006E1E79" w:rsidRDefault="00CB6849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6E1E79">
        <w:rPr>
          <w:rFonts w:ascii="Arial" w:hAnsi="Arial"/>
          <w:sz w:val="20"/>
          <w:szCs w:val="24"/>
        </w:rPr>
        <w:t> </w:t>
      </w:r>
    </w:p>
    <w:p w:rsidR="00C62722" w:rsidRPr="006E1E79" w:rsidRDefault="00091160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sz w:val="20"/>
          <w:szCs w:val="24"/>
          <w:lang w:val="en-US"/>
        </w:rPr>
        <w:t xml:space="preserve">The </w:t>
      </w:r>
      <w:r w:rsidRPr="00E91129">
        <w:rPr>
          <w:rFonts w:ascii="Arial" w:hAnsi="Arial"/>
          <w:b/>
          <w:sz w:val="20"/>
          <w:szCs w:val="24"/>
          <w:lang w:val="en-US"/>
        </w:rPr>
        <w:t>forecast survey</w:t>
      </w:r>
      <w:r w:rsidRPr="00E91129">
        <w:rPr>
          <w:rFonts w:ascii="Arial" w:hAnsi="Arial"/>
          <w:sz w:val="20"/>
          <w:szCs w:val="24"/>
          <w:lang w:val="en-US"/>
        </w:rPr>
        <w:t xml:space="preserve"> outlines possible short-term industry trends.</w:t>
      </w:r>
      <w:r w:rsidR="00CB6849">
        <w:rPr>
          <w:rFonts w:ascii="Arial" w:hAnsi="Arial"/>
          <w:sz w:val="20"/>
          <w:szCs w:val="24"/>
        </w:rPr>
        <w:t xml:space="preserve"> </w:t>
      </w:r>
      <w:r w:rsidR="00E67D01" w:rsidRPr="00E91129">
        <w:rPr>
          <w:rFonts w:ascii="Arial" w:hAnsi="Arial"/>
          <w:sz w:val="20"/>
          <w:szCs w:val="24"/>
          <w:lang w:val="en-US"/>
        </w:rPr>
        <w:t>There is solid optimism for foreign markets, and also on the domestic side, the outlook is more positive in view of improved confidence from the previous period; this attitude may suggest good results in the second half of this year.</w:t>
      </w:r>
      <w:r w:rsidR="00CB6849" w:rsidRPr="006E1E79">
        <w:rPr>
          <w:rFonts w:ascii="Arial" w:hAnsi="Arial"/>
          <w:sz w:val="20"/>
          <w:szCs w:val="24"/>
        </w:rPr>
        <w:t> </w:t>
      </w:r>
    </w:p>
    <w:p w:rsidR="00C35366" w:rsidRDefault="00E67D01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  <w:r w:rsidRPr="00E91129">
        <w:rPr>
          <w:rFonts w:ascii="Arial" w:hAnsi="Arial"/>
          <w:b/>
          <w:sz w:val="20"/>
          <w:szCs w:val="24"/>
          <w:lang w:val="en-US"/>
        </w:rPr>
        <w:t>Foreign orders</w:t>
      </w:r>
      <w:r w:rsidRPr="00E91129">
        <w:rPr>
          <w:rFonts w:ascii="Arial" w:hAnsi="Arial"/>
          <w:sz w:val="20"/>
          <w:szCs w:val="24"/>
          <w:lang w:val="en-US"/>
        </w:rPr>
        <w:t xml:space="preserve"> will grow according to 50 percent of the sample, while they are expected to stay at the same level according to 46 percent.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The remaining 4 percent expects a drop (balance is plus 46).</w:t>
      </w:r>
      <w:r w:rsidR="00CB6849" w:rsidRPr="00E67D01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The forecast survey on the domestic market indicates a decline according to 18 percent of the sample,</w:t>
      </w:r>
      <w:r w:rsidR="00CB6849" w:rsidRPr="00E67D01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while 50 percent expect domestic sales to remain stable.</w:t>
      </w:r>
      <w:r w:rsidR="00CB6849" w:rsidRPr="006E1E79">
        <w:rPr>
          <w:rFonts w:ascii="Arial" w:hAnsi="Arial"/>
          <w:sz w:val="20"/>
          <w:szCs w:val="24"/>
        </w:rPr>
        <w:t xml:space="preserve"> </w:t>
      </w:r>
      <w:r w:rsidRPr="00E91129">
        <w:rPr>
          <w:rFonts w:ascii="Arial" w:hAnsi="Arial"/>
          <w:sz w:val="20"/>
          <w:szCs w:val="24"/>
          <w:lang w:val="en-US"/>
        </w:rPr>
        <w:t>32 percent of companies predict short-term growth (balance is plus 14).</w:t>
      </w:r>
    </w:p>
    <w:p w:rsidR="00C35366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</w:p>
    <w:p w:rsidR="00C62722" w:rsidRPr="006E1E79" w:rsidRDefault="00D5277F" w:rsidP="00C35366">
      <w:pPr>
        <w:tabs>
          <w:tab w:val="left" w:pos="142"/>
        </w:tabs>
        <w:ind w:left="567"/>
        <w:jc w:val="both"/>
        <w:rPr>
          <w:rFonts w:ascii="Arial" w:hAnsi="Arial"/>
          <w:sz w:val="20"/>
          <w:szCs w:val="24"/>
        </w:rPr>
      </w:pPr>
    </w:p>
    <w:p w:rsidR="00D5277F" w:rsidRDefault="00CB6849" w:rsidP="00C35366">
      <w:pPr>
        <w:widowControl w:val="0"/>
        <w:tabs>
          <w:tab w:val="left" w:pos="142"/>
        </w:tabs>
        <w:ind w:left="567"/>
        <w:rPr>
          <w:rFonts w:ascii="Arial" w:hAnsi="Arial"/>
          <w:sz w:val="20"/>
        </w:rPr>
      </w:pPr>
      <w:r w:rsidRPr="006E1E79">
        <w:rPr>
          <w:rFonts w:ascii="Arial" w:hAnsi="Arial"/>
          <w:sz w:val="20"/>
        </w:rPr>
        <w:t> </w:t>
      </w:r>
    </w:p>
    <w:p w:rsidR="00C35366" w:rsidRDefault="00D5277F" w:rsidP="00C35366">
      <w:pPr>
        <w:widowControl w:val="0"/>
        <w:tabs>
          <w:tab w:val="left" w:pos="142"/>
        </w:tabs>
        <w:ind w:left="567"/>
        <w:rPr>
          <w:rFonts w:ascii="Arial" w:hAnsi="Arial"/>
          <w:sz w:val="20"/>
        </w:rPr>
      </w:pPr>
    </w:p>
    <w:p w:rsidR="00B65D4D" w:rsidRPr="00C35366" w:rsidRDefault="00D5277F" w:rsidP="00C35366">
      <w:pPr>
        <w:widowControl w:val="0"/>
        <w:tabs>
          <w:tab w:val="left" w:pos="142"/>
        </w:tabs>
        <w:ind w:left="567"/>
        <w:rPr>
          <w:rFonts w:ascii="Arial" w:hAnsi="Arial"/>
          <w:sz w:val="20"/>
        </w:rPr>
      </w:pPr>
    </w:p>
    <w:p w:rsidR="00B65D4D" w:rsidRPr="00C76A75" w:rsidRDefault="00E67D01" w:rsidP="00C35366">
      <w:pPr>
        <w:tabs>
          <w:tab w:val="left" w:pos="142"/>
          <w:tab w:val="left" w:pos="567"/>
        </w:tabs>
        <w:ind w:left="567"/>
        <w:jc w:val="both"/>
        <w:outlineLvl w:val="0"/>
        <w:rPr>
          <w:rFonts w:ascii="Arial" w:hAnsi="Arial"/>
          <w:i/>
          <w:sz w:val="20"/>
        </w:rPr>
      </w:pPr>
      <w:r w:rsidRPr="00C76A75">
        <w:rPr>
          <w:rFonts w:ascii="Arial" w:hAnsi="Arial"/>
          <w:i/>
          <w:sz w:val="20"/>
          <w:lang w:val="en-US"/>
        </w:rPr>
        <w:t>For more information:</w:t>
      </w:r>
    </w:p>
    <w:p w:rsidR="00B65D4D" w:rsidRPr="00F73A1C" w:rsidRDefault="00E67D01" w:rsidP="00C35366">
      <w:pPr>
        <w:tabs>
          <w:tab w:val="left" w:pos="142"/>
          <w:tab w:val="left" w:pos="567"/>
        </w:tabs>
        <w:ind w:left="567"/>
        <w:jc w:val="both"/>
        <w:outlineLvl w:val="0"/>
        <w:rPr>
          <w:rFonts w:ascii="Arial" w:hAnsi="Arial"/>
          <w:sz w:val="20"/>
        </w:rPr>
      </w:pPr>
      <w:r w:rsidRPr="00E91129">
        <w:rPr>
          <w:rFonts w:ascii="Arial" w:hAnsi="Arial"/>
          <w:sz w:val="20"/>
          <w:lang w:val="en-US"/>
        </w:rPr>
        <w:t>Luca Rossetti</w:t>
      </w:r>
      <w:r w:rsidR="00F03D6D">
        <w:rPr>
          <w:rFonts w:ascii="Arial" w:hAnsi="Arial"/>
          <w:sz w:val="20"/>
          <w:lang w:val="en-US"/>
        </w:rPr>
        <w:t xml:space="preserve">  </w:t>
      </w:r>
    </w:p>
    <w:p w:rsidR="00B65D4D" w:rsidRPr="00F73A1C" w:rsidRDefault="00E67D01" w:rsidP="00C35366">
      <w:pPr>
        <w:tabs>
          <w:tab w:val="left" w:pos="142"/>
          <w:tab w:val="left" w:pos="567"/>
        </w:tabs>
        <w:ind w:left="567"/>
        <w:jc w:val="both"/>
        <w:rPr>
          <w:rFonts w:ascii="Arial" w:hAnsi="Arial"/>
          <w:sz w:val="20"/>
        </w:rPr>
      </w:pPr>
      <w:r w:rsidRPr="00E91129">
        <w:rPr>
          <w:rFonts w:ascii="Arial" w:hAnsi="Arial"/>
          <w:sz w:val="20"/>
          <w:lang w:val="en-US"/>
        </w:rPr>
        <w:t>phone +39 02 89210200</w:t>
      </w:r>
    </w:p>
    <w:p w:rsidR="00C76A75" w:rsidRDefault="000B6794" w:rsidP="00C35366">
      <w:pPr>
        <w:tabs>
          <w:tab w:val="left" w:pos="142"/>
          <w:tab w:val="left" w:pos="567"/>
        </w:tabs>
        <w:ind w:left="567"/>
        <w:jc w:val="both"/>
      </w:pPr>
      <w:hyperlink r:id="rId7" w:history="1">
        <w:r w:rsidR="00E67D01" w:rsidRPr="00E91129">
          <w:rPr>
            <w:rStyle w:val="Collegamentoipertestuale"/>
            <w:rFonts w:ascii="Arial" w:hAnsi="Arial"/>
            <w:color w:val="auto"/>
            <w:sz w:val="20"/>
            <w:lang w:val="en-US"/>
          </w:rPr>
          <w:t>rossetti@acimall.com</w:t>
        </w:r>
      </w:hyperlink>
    </w:p>
    <w:p w:rsidR="00B65D4D" w:rsidRPr="00F73A1C" w:rsidRDefault="00D5277F" w:rsidP="00C35366">
      <w:pPr>
        <w:tabs>
          <w:tab w:val="left" w:pos="142"/>
          <w:tab w:val="left" w:pos="567"/>
        </w:tabs>
        <w:ind w:left="567"/>
        <w:jc w:val="both"/>
        <w:rPr>
          <w:rFonts w:ascii="Arial" w:hAnsi="Arial"/>
          <w:sz w:val="20"/>
        </w:rPr>
      </w:pPr>
    </w:p>
    <w:sectPr w:rsidR="00B65D4D" w:rsidRPr="00F73A1C" w:rsidSect="00823C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346" w:bottom="0" w:left="1320" w:footer="803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49" w:rsidRDefault="00CB6849">
      <w:r>
        <w:separator/>
      </w:r>
    </w:p>
  </w:endnote>
  <w:endnote w:type="continuationSeparator" w:id="0">
    <w:p w:rsidR="00CB6849" w:rsidRDefault="00CB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D" w:rsidRDefault="000B67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68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5D4D" w:rsidRDefault="00D5277F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D" w:rsidRDefault="00D5277F">
    <w:pPr>
      <w:pStyle w:val="Pidipagina"/>
      <w:framePr w:wrap="around" w:vAnchor="text" w:hAnchor="page" w:x="5488" w:y="524"/>
      <w:jc w:val="center"/>
      <w:rPr>
        <w:rStyle w:val="Numeropagina"/>
      </w:rPr>
    </w:pPr>
  </w:p>
  <w:p w:rsidR="00B65D4D" w:rsidRDefault="00CB6849">
    <w:pPr>
      <w:pStyle w:val="Pidipagina"/>
      <w:ind w:right="360"/>
    </w:pPr>
    <w:r>
      <w:t xml:space="preserve">   </w:t>
    </w:r>
  </w:p>
  <w:p w:rsidR="00B65D4D" w:rsidRDefault="00CB6849">
    <w:pPr>
      <w:pStyle w:val="Pidipagina"/>
      <w:ind w:right="360"/>
    </w:pPr>
    <w:r>
      <w:t xml:space="preserve">         </w:t>
    </w:r>
    <w:r>
      <w:rPr>
        <w:noProof/>
      </w:rPr>
      <w:drawing>
        <wp:inline distT="0" distB="0" distL="0" distR="0">
          <wp:extent cx="372745" cy="355600"/>
          <wp:effectExtent l="25400" t="0" r="8255" b="0"/>
          <wp:docPr id="4" name="Immagine 4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D" w:rsidRDefault="00CB684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  <w:r>
      <w:rPr>
        <w:noProof/>
      </w:rPr>
      <w:drawing>
        <wp:inline distT="0" distB="0" distL="0" distR="0">
          <wp:extent cx="372745" cy="355600"/>
          <wp:effectExtent l="25400" t="0" r="8255" b="0"/>
          <wp:docPr id="2" name="Immagine 2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49" w:rsidRDefault="00CB6849">
      <w:r>
        <w:separator/>
      </w:r>
    </w:p>
  </w:footnote>
  <w:footnote w:type="continuationSeparator" w:id="0">
    <w:p w:rsidR="00CB6849" w:rsidRDefault="00CB684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D" w:rsidRDefault="00CB6849">
    <w:pPr>
      <w:pStyle w:val="Intestazione"/>
      <w:ind w:left="360"/>
    </w:pPr>
    <w:r>
      <w:rPr>
        <w:noProof/>
      </w:rPr>
      <w:drawing>
        <wp:inline distT="0" distB="0" distL="0" distR="0">
          <wp:extent cx="1151255" cy="406400"/>
          <wp:effectExtent l="25400" t="0" r="0" b="0"/>
          <wp:docPr id="3" name="Immagine 3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5D4D" w:rsidRDefault="00D5277F">
    <w:pPr>
      <w:pStyle w:val="Intestazione"/>
      <w:ind w:left="360"/>
    </w:pPr>
  </w:p>
  <w:p w:rsidR="00B65D4D" w:rsidRDefault="00D5277F">
    <w:pPr>
      <w:pStyle w:val="Intestazione"/>
      <w:ind w:lef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D" w:rsidRDefault="00CB6849">
    <w:pPr>
      <w:pStyle w:val="Intestazione"/>
    </w:pPr>
    <w:r>
      <w:rPr>
        <w:sz w:val="22"/>
      </w:rPr>
      <w:t xml:space="preserve">       </w:t>
    </w:r>
    <w:r>
      <w:t xml:space="preserve"> </w:t>
    </w:r>
    <w:r>
      <w:rPr>
        <w:noProof/>
      </w:rPr>
      <w:drawing>
        <wp:inline distT="0" distB="0" distL="0" distR="0">
          <wp:extent cx="1151255" cy="406400"/>
          <wp:effectExtent l="25400" t="0" r="0" b="0"/>
          <wp:docPr id="1" name="Immagine 1" descr="ACIMALL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MALL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4E31"/>
    <w:rsid w:val="00056CBC"/>
    <w:rsid w:val="00091160"/>
    <w:rsid w:val="000B6794"/>
    <w:rsid w:val="00121014"/>
    <w:rsid w:val="00446969"/>
    <w:rsid w:val="0050525F"/>
    <w:rsid w:val="005D308C"/>
    <w:rsid w:val="00643599"/>
    <w:rsid w:val="00A62CA0"/>
    <w:rsid w:val="00C76A75"/>
    <w:rsid w:val="00CB6849"/>
    <w:rsid w:val="00D5277F"/>
    <w:rsid w:val="00E04E31"/>
    <w:rsid w:val="00E67D01"/>
    <w:rsid w:val="00E91129"/>
    <w:rsid w:val="00EA3FAD"/>
    <w:rsid w:val="00F03D6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C88"/>
    <w:rPr>
      <w:sz w:val="24"/>
    </w:rPr>
  </w:style>
  <w:style w:type="paragraph" w:styleId="Titolo1">
    <w:name w:val="heading 1"/>
    <w:basedOn w:val="Normale"/>
    <w:next w:val="Normale"/>
    <w:qFormat/>
    <w:rsid w:val="00823C88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823C88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823C88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23C88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823C88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823C88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823C88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823C88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823C88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823C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C8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23C88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deltesto">
    <w:name w:val="Body Text"/>
    <w:basedOn w:val="Normale"/>
    <w:rsid w:val="00823C88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823C88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823C88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atterepredefinitoparagrafo"/>
    <w:rsid w:val="00823C88"/>
  </w:style>
  <w:style w:type="character" w:styleId="Collegamentoipertestuale">
    <w:name w:val="Hyperlink"/>
    <w:basedOn w:val="Caratterepredefinitoparagrafo"/>
    <w:rsid w:val="00823C88"/>
    <w:rPr>
      <w:color w:val="0000FF"/>
      <w:u w:val="single"/>
    </w:rPr>
  </w:style>
  <w:style w:type="paragraph" w:styleId="Mappadocumento">
    <w:name w:val="Document Map"/>
    <w:basedOn w:val="Normale"/>
    <w:semiHidden/>
    <w:rsid w:val="00823C88"/>
    <w:pPr>
      <w:shd w:val="clear" w:color="auto" w:fill="000080"/>
    </w:pPr>
    <w:rPr>
      <w:rFonts w:ascii="Geneva" w:hAnsi="Geneva"/>
    </w:rPr>
  </w:style>
  <w:style w:type="paragraph" w:styleId="Bloccoditesto">
    <w:name w:val="Block Text"/>
    <w:basedOn w:val="Normale"/>
    <w:rsid w:val="00823C88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823C88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823C88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823C88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823C88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823C88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atterepredefinitoparagrafo"/>
    <w:rsid w:val="00E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ssetti@acimal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Data\Microsoft\Modelli\fax-acimall.dot</Template>
  <TotalTime>5</TotalTime>
  <Pages>1</Pages>
  <Words>410</Words>
  <Characters>2339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costruttori</vt:lpstr>
    </vt:vector>
  </TitlesOfParts>
  <Company/>
  <LinksUpToDate>false</LinksUpToDate>
  <CharactersWithSpaces>2872</CharactersWithSpaces>
  <SharedDoc>false</SharedDoc>
  <HLinks>
    <vt:vector size="30" baseType="variant"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mailto:rossetti@acimall.com</vt:lpwstr>
      </vt:variant>
      <vt:variant>
        <vt:lpwstr/>
      </vt:variant>
      <vt:variant>
        <vt:i4>1769596</vt:i4>
      </vt:variant>
      <vt:variant>
        <vt:i4>2902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2932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1769596</vt:i4>
      </vt:variant>
      <vt:variant>
        <vt:i4>2943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5963872</vt:i4>
      </vt:variant>
      <vt:variant>
        <vt:i4>2947</vt:i4>
      </vt:variant>
      <vt:variant>
        <vt:i4>1028</vt:i4>
      </vt:variant>
      <vt:variant>
        <vt:i4>1</vt:i4>
      </vt:variant>
      <vt:variant>
        <vt:lpwstr>LOGO_CONFINDUSTRIA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dc:description/>
  <cp:lastModifiedBy>Rossetti Luca</cp:lastModifiedBy>
  <cp:revision>8</cp:revision>
  <cp:lastPrinted>2014-05-08T12:19:00Z</cp:lastPrinted>
  <dcterms:created xsi:type="dcterms:W3CDTF">2014-05-08T12:02:00Z</dcterms:created>
  <dcterms:modified xsi:type="dcterms:W3CDTF">2014-05-09T06:27:00Z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