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A029E7">
            <w:pPr>
              <w:pStyle w:val="Titolo1"/>
              <w:ind w:right="212"/>
              <w:jc w:val="both"/>
              <w:rPr>
                <w:sz w:val="18"/>
              </w:rPr>
            </w:pPr>
            <w:proofErr w:type="spellStart"/>
            <w:r>
              <w:rPr>
                <w:sz w:val="18"/>
              </w:rPr>
              <w:t>Acimall</w:t>
            </w:r>
            <w:proofErr w:type="spellEnd"/>
          </w:p>
          <w:p w14:paraId="74123824"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7A00A7EC"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77777777" w:rsidR="00C12950" w:rsidRDefault="00C12950" w:rsidP="00A029E7">
            <w:pPr>
              <w:ind w:right="212"/>
              <w:jc w:val="both"/>
              <w:rPr>
                <w:rFonts w:ascii="Helvetica" w:hAnsi="Helvetica"/>
                <w:sz w:val="16"/>
              </w:rPr>
            </w:pPr>
            <w:r>
              <w:rPr>
                <w:rFonts w:ascii="Helvetica" w:hAnsi="Helvetica"/>
                <w:sz w:val="16"/>
              </w:rPr>
              <w:t>I-20090 Assago (Milano)</w:t>
            </w:r>
          </w:p>
          <w:p w14:paraId="08812F63" w14:textId="77777777" w:rsidR="00C12950" w:rsidRDefault="00C12950" w:rsidP="00A029E7">
            <w:pPr>
              <w:ind w:right="212"/>
              <w:jc w:val="both"/>
              <w:rPr>
                <w:rFonts w:ascii="Helvetica" w:hAnsi="Helvetica"/>
                <w:sz w:val="16"/>
              </w:rPr>
            </w:pPr>
            <w:r>
              <w:rPr>
                <w:rFonts w:ascii="Helvetica" w:hAnsi="Helvetica"/>
                <w:sz w:val="16"/>
              </w:rPr>
              <w:t>phone +39 02 89210200</w:t>
            </w:r>
          </w:p>
          <w:p w14:paraId="5F0397DE" w14:textId="77777777" w:rsidR="00C12950" w:rsidRDefault="00C12950" w:rsidP="00A029E7">
            <w:pPr>
              <w:ind w:right="212"/>
              <w:jc w:val="both"/>
              <w:rPr>
                <w:rFonts w:ascii="Helvetica" w:hAnsi="Helvetica"/>
                <w:sz w:val="16"/>
              </w:rPr>
            </w:pPr>
            <w:r>
              <w:rPr>
                <w:rFonts w:ascii="Helvetica" w:hAnsi="Helvetica"/>
                <w:sz w:val="16"/>
              </w:rPr>
              <w:t>fax +39 02 8259009</w:t>
            </w:r>
          </w:p>
          <w:p w14:paraId="27E6149D" w14:textId="77777777" w:rsidR="00C12950" w:rsidRDefault="00C12950" w:rsidP="00A029E7">
            <w:pPr>
              <w:ind w:right="212"/>
              <w:jc w:val="both"/>
              <w:rPr>
                <w:rFonts w:ascii="Helvetica" w:hAnsi="Helvetica"/>
                <w:sz w:val="16"/>
              </w:rPr>
            </w:pPr>
            <w:r>
              <w:rPr>
                <w:rFonts w:ascii="Helvetica" w:hAnsi="Helvetica"/>
                <w:sz w:val="16"/>
              </w:rPr>
              <w:t>www.acimall.com</w:t>
            </w:r>
          </w:p>
          <w:p w14:paraId="40B19344" w14:textId="77777777" w:rsidR="00C12950" w:rsidRDefault="00C12950" w:rsidP="00A029E7">
            <w:pPr>
              <w:ind w:right="212"/>
              <w:jc w:val="both"/>
            </w:pPr>
            <w:r>
              <w:rPr>
                <w:rFonts w:ascii="Helvetica" w:hAnsi="Helvetica"/>
                <w:sz w:val="16"/>
              </w:rPr>
              <w:t>info@acimall.com</w:t>
            </w:r>
          </w:p>
        </w:tc>
        <w:tc>
          <w:tcPr>
            <w:tcW w:w="2493" w:type="dxa"/>
          </w:tcPr>
          <w:p w14:paraId="776B756F" w14:textId="3101CCB7" w:rsidR="00C12950" w:rsidRDefault="003D3CCC" w:rsidP="008E444A">
            <w:pPr>
              <w:ind w:left="-142" w:right="212"/>
              <w:jc w:val="right"/>
              <w:rPr>
                <w:rFonts w:ascii="Helvetica" w:hAnsi="Helvetica"/>
                <w:b/>
                <w:sz w:val="28"/>
              </w:rPr>
            </w:pPr>
            <w:r>
              <w:rPr>
                <w:rFonts w:ascii="Helvetica" w:hAnsi="Helvetica"/>
                <w:b/>
                <w:w w:val="108"/>
                <w:kern w:val="22"/>
                <w:sz w:val="28"/>
              </w:rPr>
              <w:t xml:space="preserve"> </w:t>
            </w:r>
            <w:r w:rsidR="00C12950">
              <w:rPr>
                <w:rFonts w:ascii="Helvetica" w:hAnsi="Helvetica"/>
                <w:b/>
                <w:w w:val="108"/>
                <w:kern w:val="22"/>
                <w:sz w:val="28"/>
              </w:rPr>
              <w:t xml:space="preserve">ufficio </w:t>
            </w:r>
            <w:r w:rsidR="00C12950">
              <w:rPr>
                <w:rFonts w:ascii="Helvetica" w:hAnsi="Helvetica"/>
                <w:b/>
                <w:sz w:val="28"/>
              </w:rPr>
              <w:t>stampa</w:t>
            </w:r>
          </w:p>
          <w:p w14:paraId="70852C71" w14:textId="1EF86BCE" w:rsidR="00C12950" w:rsidRDefault="00B651F1" w:rsidP="008E444A">
            <w:pPr>
              <w:ind w:left="-142" w:right="212"/>
              <w:jc w:val="right"/>
              <w:rPr>
                <w:rFonts w:ascii="Gill Sans MT" w:hAnsi="Gill Sans MT"/>
                <w:b/>
                <w:sz w:val="14"/>
              </w:rPr>
            </w:pPr>
            <w:r>
              <w:rPr>
                <w:rFonts w:ascii="Helvetica" w:hAnsi="Helvetica"/>
                <w:sz w:val="14"/>
              </w:rPr>
              <w:t>10 maggio</w:t>
            </w:r>
            <w:r w:rsidR="005D6F46">
              <w:rPr>
                <w:rFonts w:ascii="Helvetica" w:hAnsi="Helvetica"/>
                <w:sz w:val="14"/>
              </w:rPr>
              <w:t xml:space="preserve"> 2021</w:t>
            </w:r>
          </w:p>
        </w:tc>
      </w:tr>
    </w:tbl>
    <w:p w14:paraId="611215AC" w14:textId="77777777" w:rsidR="00C12950" w:rsidRDefault="00C12950" w:rsidP="00C12950">
      <w:pPr>
        <w:jc w:val="both"/>
        <w:rPr>
          <w:rFonts w:ascii="Arial" w:hAnsi="Arial"/>
          <w:sz w:val="20"/>
        </w:rPr>
      </w:pPr>
    </w:p>
    <w:p w14:paraId="0DD66105" w14:textId="77777777" w:rsidR="00C12950" w:rsidRPr="00B33B48" w:rsidRDefault="00C12950" w:rsidP="00B33B48">
      <w:pPr>
        <w:ind w:left="426"/>
        <w:jc w:val="both"/>
        <w:rPr>
          <w:rFonts w:ascii="Arial" w:hAnsi="Arial" w:cs="Arial"/>
          <w:sz w:val="20"/>
        </w:rPr>
      </w:pPr>
    </w:p>
    <w:p w14:paraId="302BE59F" w14:textId="77777777" w:rsidR="00BD4E9A" w:rsidRPr="00B33B48" w:rsidRDefault="00BD4E9A" w:rsidP="00B33B48">
      <w:pPr>
        <w:ind w:left="426"/>
        <w:jc w:val="both"/>
        <w:rPr>
          <w:rFonts w:ascii="Arial" w:hAnsi="Arial" w:cs="Arial"/>
          <w:b/>
          <w:sz w:val="20"/>
        </w:rPr>
      </w:pPr>
    </w:p>
    <w:p w14:paraId="4AF431D0" w14:textId="77777777" w:rsidR="001D79A8" w:rsidRDefault="001D79A8" w:rsidP="00A76779">
      <w:pPr>
        <w:jc w:val="both"/>
        <w:rPr>
          <w:rFonts w:ascii="Arial" w:hAnsi="Arial" w:cs="Arial"/>
          <w:b/>
          <w:sz w:val="20"/>
        </w:rPr>
      </w:pPr>
    </w:p>
    <w:p w14:paraId="1527D40E" w14:textId="00AD6CED" w:rsidR="001D79A8" w:rsidRDefault="001D79A8" w:rsidP="00B33B48">
      <w:pPr>
        <w:ind w:left="426"/>
        <w:jc w:val="both"/>
        <w:rPr>
          <w:rFonts w:ascii="Arial" w:hAnsi="Arial" w:cs="Arial"/>
          <w:b/>
          <w:sz w:val="20"/>
        </w:rPr>
      </w:pPr>
    </w:p>
    <w:p w14:paraId="18386A96" w14:textId="77777777" w:rsidR="00EF3187" w:rsidRDefault="00EF3187" w:rsidP="00B33B48">
      <w:pPr>
        <w:ind w:left="426"/>
        <w:jc w:val="both"/>
        <w:rPr>
          <w:rFonts w:ascii="Arial" w:hAnsi="Arial" w:cs="Arial"/>
          <w:b/>
          <w:sz w:val="20"/>
        </w:rPr>
      </w:pPr>
    </w:p>
    <w:p w14:paraId="1389224E" w14:textId="5D0BE30B" w:rsidR="001D79A8" w:rsidRDefault="001D79A8" w:rsidP="00A76779">
      <w:pPr>
        <w:jc w:val="both"/>
        <w:rPr>
          <w:rFonts w:ascii="Arial" w:hAnsi="Arial" w:cs="Arial"/>
          <w:b/>
          <w:sz w:val="20"/>
        </w:rPr>
      </w:pPr>
    </w:p>
    <w:p w14:paraId="2C1204A0" w14:textId="4A48299E" w:rsidR="001670C8" w:rsidRDefault="001670C8" w:rsidP="00A76779">
      <w:pPr>
        <w:jc w:val="both"/>
        <w:rPr>
          <w:rFonts w:ascii="Arial" w:hAnsi="Arial" w:cs="Arial"/>
          <w:b/>
          <w:sz w:val="20"/>
        </w:rPr>
      </w:pPr>
    </w:p>
    <w:p w14:paraId="4D7174C7" w14:textId="77777777" w:rsidR="001670C8" w:rsidRPr="00B33B48" w:rsidRDefault="001670C8" w:rsidP="00A76779">
      <w:pPr>
        <w:jc w:val="both"/>
        <w:rPr>
          <w:rFonts w:ascii="Arial" w:hAnsi="Arial" w:cs="Arial"/>
          <w:b/>
          <w:sz w:val="20"/>
        </w:rPr>
      </w:pPr>
    </w:p>
    <w:p w14:paraId="48AE8A5D" w14:textId="3B30F83F" w:rsidR="00964F48" w:rsidRDefault="00964F48" w:rsidP="00964F48">
      <w:pPr>
        <w:tabs>
          <w:tab w:val="left" w:pos="142"/>
        </w:tabs>
        <w:ind w:left="426"/>
        <w:jc w:val="both"/>
        <w:rPr>
          <w:rFonts w:ascii="Arial" w:hAnsi="Arial" w:cs="Arial"/>
          <w:b/>
          <w:color w:val="000000" w:themeColor="text1"/>
          <w:sz w:val="20"/>
        </w:rPr>
      </w:pPr>
      <w:r>
        <w:rPr>
          <w:rFonts w:ascii="Arial" w:hAnsi="Arial" w:cs="Arial"/>
          <w:b/>
          <w:color w:val="000000" w:themeColor="text1"/>
          <w:sz w:val="20"/>
        </w:rPr>
        <w:t>TECNOLOGIE PER IL LEGNO-ARREDO: FORTE RIMBALZO NEL PRIMO TRIMESTRE 2021</w:t>
      </w:r>
    </w:p>
    <w:p w14:paraId="7C63C18B" w14:textId="1499E318" w:rsidR="007E06BB" w:rsidRDefault="007E06BB" w:rsidP="00196E13">
      <w:pPr>
        <w:tabs>
          <w:tab w:val="left" w:pos="142"/>
          <w:tab w:val="left" w:pos="426"/>
        </w:tabs>
        <w:ind w:left="426"/>
        <w:jc w:val="both"/>
        <w:rPr>
          <w:rFonts w:ascii="Arial" w:hAnsi="Arial" w:cs="Arial"/>
          <w:b/>
          <w:color w:val="000000" w:themeColor="text1"/>
          <w:sz w:val="20"/>
        </w:rPr>
      </w:pPr>
    </w:p>
    <w:p w14:paraId="6EA9B94D" w14:textId="77777777" w:rsidR="001670C8" w:rsidRPr="008F4FEF" w:rsidRDefault="001670C8" w:rsidP="00196E13">
      <w:pPr>
        <w:tabs>
          <w:tab w:val="left" w:pos="142"/>
          <w:tab w:val="left" w:pos="426"/>
        </w:tabs>
        <w:ind w:left="426"/>
        <w:jc w:val="both"/>
        <w:rPr>
          <w:rFonts w:ascii="Arial" w:hAnsi="Arial" w:cs="Arial"/>
          <w:b/>
          <w:color w:val="000000" w:themeColor="text1"/>
          <w:sz w:val="20"/>
        </w:rPr>
      </w:pPr>
    </w:p>
    <w:p w14:paraId="734D89D4" w14:textId="77777777" w:rsidR="00EF3187" w:rsidRPr="005D6F46" w:rsidRDefault="00EF3187" w:rsidP="00196E13">
      <w:pPr>
        <w:tabs>
          <w:tab w:val="left" w:pos="142"/>
          <w:tab w:val="left" w:pos="426"/>
        </w:tabs>
        <w:ind w:left="426"/>
        <w:jc w:val="both"/>
        <w:rPr>
          <w:rFonts w:ascii="Arial" w:hAnsi="Arial" w:cs="Arial"/>
          <w:b/>
          <w:color w:val="000000" w:themeColor="text1"/>
          <w:sz w:val="20"/>
        </w:rPr>
      </w:pPr>
    </w:p>
    <w:p w14:paraId="0F277E6E" w14:textId="0102CD83" w:rsidR="00403E1A" w:rsidRDefault="00403E1A" w:rsidP="00196E13">
      <w:pPr>
        <w:tabs>
          <w:tab w:val="left" w:pos="426"/>
        </w:tabs>
        <w:ind w:left="426"/>
        <w:rPr>
          <w:rFonts w:ascii="Arial" w:hAnsi="Arial" w:cs="Arial"/>
          <w:color w:val="000000" w:themeColor="text1"/>
          <w:sz w:val="20"/>
        </w:rPr>
      </w:pPr>
      <w:r w:rsidRPr="00073332">
        <w:rPr>
          <w:rFonts w:ascii="Arial" w:hAnsi="Arial" w:cs="Arial"/>
          <w:i/>
          <w:iCs/>
          <w:color w:val="000000" w:themeColor="text1"/>
          <w:sz w:val="20"/>
        </w:rPr>
        <w:t>“Non ci poteva essere modo migliore di iniziare il nuovo anno</w:t>
      </w:r>
      <w:r w:rsidR="00073332" w:rsidRPr="00073332">
        <w:rPr>
          <w:rFonts w:ascii="Arial" w:hAnsi="Arial" w:cs="Arial"/>
          <w:i/>
          <w:iCs/>
          <w:color w:val="000000" w:themeColor="text1"/>
          <w:sz w:val="20"/>
        </w:rPr>
        <w:t>. I</w:t>
      </w:r>
      <w:r w:rsidRPr="00073332">
        <w:rPr>
          <w:rFonts w:ascii="Arial" w:hAnsi="Arial" w:cs="Arial"/>
          <w:i/>
          <w:iCs/>
          <w:color w:val="000000" w:themeColor="text1"/>
          <w:sz w:val="20"/>
        </w:rPr>
        <w:t xml:space="preserve"> dati elaborati dal nostro </w:t>
      </w:r>
      <w:r w:rsidR="00073332" w:rsidRPr="00073332">
        <w:rPr>
          <w:rFonts w:ascii="Arial" w:hAnsi="Arial" w:cs="Arial"/>
          <w:i/>
          <w:iCs/>
          <w:color w:val="000000" w:themeColor="text1"/>
          <w:sz w:val="20"/>
        </w:rPr>
        <w:t>U</w:t>
      </w:r>
      <w:r w:rsidRPr="00073332">
        <w:rPr>
          <w:rFonts w:ascii="Arial" w:hAnsi="Arial" w:cs="Arial"/>
          <w:i/>
          <w:iCs/>
          <w:color w:val="000000" w:themeColor="text1"/>
          <w:sz w:val="20"/>
        </w:rPr>
        <w:t>fficio studi conferm</w:t>
      </w:r>
      <w:r w:rsidR="00AB2156" w:rsidRPr="00073332">
        <w:rPr>
          <w:rFonts w:ascii="Arial" w:hAnsi="Arial" w:cs="Arial"/>
          <w:i/>
          <w:iCs/>
          <w:color w:val="000000" w:themeColor="text1"/>
          <w:sz w:val="20"/>
        </w:rPr>
        <w:t>an</w:t>
      </w:r>
      <w:r w:rsidRPr="00073332">
        <w:rPr>
          <w:rFonts w:ascii="Arial" w:hAnsi="Arial" w:cs="Arial"/>
          <w:i/>
          <w:iCs/>
          <w:color w:val="000000" w:themeColor="text1"/>
          <w:sz w:val="20"/>
        </w:rPr>
        <w:t xml:space="preserve">o quella </w:t>
      </w:r>
      <w:r w:rsidR="00AB2156" w:rsidRPr="00073332">
        <w:rPr>
          <w:rFonts w:ascii="Arial" w:hAnsi="Arial" w:cs="Arial"/>
          <w:i/>
          <w:iCs/>
          <w:color w:val="000000" w:themeColor="text1"/>
          <w:sz w:val="20"/>
        </w:rPr>
        <w:t xml:space="preserve">che </w:t>
      </w:r>
      <w:r w:rsidRPr="00073332">
        <w:rPr>
          <w:rFonts w:ascii="Arial" w:hAnsi="Arial" w:cs="Arial"/>
          <w:i/>
          <w:iCs/>
          <w:color w:val="000000" w:themeColor="text1"/>
          <w:sz w:val="20"/>
        </w:rPr>
        <w:t xml:space="preserve">da tempo </w:t>
      </w:r>
      <w:r w:rsidR="00AB2156" w:rsidRPr="00073332">
        <w:rPr>
          <w:rFonts w:ascii="Arial" w:hAnsi="Arial" w:cs="Arial"/>
          <w:i/>
          <w:iCs/>
          <w:color w:val="000000" w:themeColor="text1"/>
          <w:sz w:val="20"/>
        </w:rPr>
        <w:t xml:space="preserve">era </w:t>
      </w:r>
      <w:r w:rsidRPr="00073332">
        <w:rPr>
          <w:rFonts w:ascii="Arial" w:hAnsi="Arial" w:cs="Arial"/>
          <w:i/>
          <w:iCs/>
          <w:color w:val="000000" w:themeColor="text1"/>
          <w:sz w:val="20"/>
        </w:rPr>
        <w:t xml:space="preserve">una “forte sensazione”: il 2021 è iniziato sotto i migliori auspici, con una domanda di tecnologie per </w:t>
      </w:r>
      <w:r w:rsidRPr="00B651F1">
        <w:rPr>
          <w:rFonts w:ascii="Arial" w:hAnsi="Arial" w:cs="Arial"/>
          <w:i/>
          <w:iCs/>
          <w:color w:val="000000" w:themeColor="text1"/>
          <w:sz w:val="20"/>
        </w:rPr>
        <w:t>l’industr</w:t>
      </w:r>
      <w:r w:rsidR="00073332" w:rsidRPr="00B651F1">
        <w:rPr>
          <w:rFonts w:ascii="Arial" w:hAnsi="Arial" w:cs="Arial"/>
          <w:i/>
          <w:iCs/>
          <w:color w:val="000000" w:themeColor="text1"/>
          <w:sz w:val="20"/>
        </w:rPr>
        <w:t>i</w:t>
      </w:r>
      <w:r w:rsidRPr="00B651F1">
        <w:rPr>
          <w:rFonts w:ascii="Arial" w:hAnsi="Arial" w:cs="Arial"/>
          <w:i/>
          <w:iCs/>
          <w:color w:val="000000" w:themeColor="text1"/>
          <w:sz w:val="20"/>
        </w:rPr>
        <w:t>a del mobile e il legno in forte crescita”.</w:t>
      </w:r>
      <w:r w:rsidRPr="00B651F1">
        <w:rPr>
          <w:rFonts w:ascii="Arial" w:hAnsi="Arial" w:cs="Arial"/>
          <w:color w:val="000000" w:themeColor="text1"/>
          <w:sz w:val="20"/>
        </w:rPr>
        <w:t xml:space="preserve"> </w:t>
      </w:r>
      <w:r w:rsidRPr="00B651F1">
        <w:rPr>
          <w:rFonts w:ascii="Arial" w:hAnsi="Arial" w:cs="Arial"/>
          <w:b/>
          <w:bCs/>
          <w:color w:val="000000" w:themeColor="text1"/>
          <w:sz w:val="20"/>
        </w:rPr>
        <w:t>Luigi De Vito</w:t>
      </w:r>
      <w:r w:rsidRPr="00B651F1">
        <w:rPr>
          <w:rFonts w:ascii="Arial" w:hAnsi="Arial" w:cs="Arial"/>
          <w:color w:val="000000" w:themeColor="text1"/>
          <w:sz w:val="20"/>
        </w:rPr>
        <w:t xml:space="preserve">, presidente di </w:t>
      </w:r>
      <w:proofErr w:type="spellStart"/>
      <w:r w:rsidRPr="00B651F1">
        <w:rPr>
          <w:rFonts w:ascii="Arial" w:hAnsi="Arial" w:cs="Arial"/>
          <w:color w:val="000000" w:themeColor="text1"/>
          <w:sz w:val="20"/>
        </w:rPr>
        <w:t>Acimall</w:t>
      </w:r>
      <w:proofErr w:type="spellEnd"/>
      <w:r w:rsidR="00B651F1" w:rsidRPr="00B651F1">
        <w:rPr>
          <w:rFonts w:ascii="Arial" w:hAnsi="Arial" w:cs="Arial"/>
          <w:color w:val="000000" w:themeColor="text1"/>
          <w:sz w:val="20"/>
        </w:rPr>
        <w:t xml:space="preserve"> </w:t>
      </w:r>
      <w:r w:rsidR="00B651F1" w:rsidRPr="00B651F1">
        <w:rPr>
          <w:rFonts w:ascii="Arial" w:hAnsi="Arial" w:cs="Arial"/>
          <w:color w:val="000000" w:themeColor="text1"/>
          <w:sz w:val="20"/>
        </w:rPr>
        <w:softHyphen/>
        <w:t>– l’associazione che riunisce i costruttori italiani del comparto, le tecnologie, gli utensili le attrezzature per la lavorazione del legno e dei suoi derivati</w:t>
      </w:r>
      <w:r w:rsidRPr="00B651F1">
        <w:rPr>
          <w:rFonts w:ascii="Arial" w:hAnsi="Arial" w:cs="Arial"/>
          <w:color w:val="000000" w:themeColor="text1"/>
          <w:sz w:val="20"/>
        </w:rPr>
        <w:t xml:space="preserve"> </w:t>
      </w:r>
      <w:r w:rsidR="00B651F1" w:rsidRPr="00B651F1">
        <w:rPr>
          <w:rFonts w:ascii="Arial" w:hAnsi="Arial" w:cs="Arial"/>
          <w:color w:val="000000" w:themeColor="text1"/>
          <w:sz w:val="20"/>
        </w:rPr>
        <w:t xml:space="preserve">– </w:t>
      </w:r>
      <w:r w:rsidRPr="00B651F1">
        <w:rPr>
          <w:rFonts w:ascii="Arial" w:hAnsi="Arial" w:cs="Arial"/>
          <w:color w:val="000000" w:themeColor="text1"/>
          <w:sz w:val="20"/>
        </w:rPr>
        <w:t xml:space="preserve">commenta </w:t>
      </w:r>
      <w:r w:rsidRPr="00403E1A">
        <w:rPr>
          <w:rFonts w:ascii="Arial" w:hAnsi="Arial" w:cs="Arial"/>
          <w:color w:val="000000" w:themeColor="text1"/>
          <w:sz w:val="20"/>
        </w:rPr>
        <w:t xml:space="preserve">così l’eclatante dato dei primi novanta giorni di quest’anno, che vede gli </w:t>
      </w:r>
      <w:r w:rsidRPr="00964F48">
        <w:rPr>
          <w:rFonts w:ascii="Arial" w:hAnsi="Arial" w:cs="Arial"/>
          <w:b/>
          <w:bCs/>
          <w:color w:val="000000" w:themeColor="text1"/>
          <w:sz w:val="20"/>
        </w:rPr>
        <w:t>ordini</w:t>
      </w:r>
      <w:r w:rsidRPr="00403E1A">
        <w:rPr>
          <w:rFonts w:ascii="Arial" w:hAnsi="Arial" w:cs="Arial"/>
          <w:color w:val="000000" w:themeColor="text1"/>
          <w:sz w:val="20"/>
        </w:rPr>
        <w:t xml:space="preserve"> crescere d</w:t>
      </w:r>
      <w:r w:rsidR="00566E4E">
        <w:rPr>
          <w:rFonts w:ascii="Arial" w:hAnsi="Arial" w:cs="Arial"/>
          <w:color w:val="000000" w:themeColor="text1"/>
          <w:sz w:val="20"/>
        </w:rPr>
        <w:t>e</w:t>
      </w:r>
      <w:r w:rsidRPr="00403E1A">
        <w:rPr>
          <w:rFonts w:ascii="Arial" w:hAnsi="Arial" w:cs="Arial"/>
          <w:color w:val="000000" w:themeColor="text1"/>
          <w:sz w:val="20"/>
        </w:rPr>
        <w:t xml:space="preserve">l </w:t>
      </w:r>
      <w:r w:rsidRPr="00964F48">
        <w:rPr>
          <w:rFonts w:ascii="Arial" w:hAnsi="Arial" w:cs="Arial"/>
          <w:b/>
          <w:bCs/>
          <w:color w:val="000000" w:themeColor="text1"/>
          <w:sz w:val="20"/>
        </w:rPr>
        <w:t>58 per cento</w:t>
      </w:r>
      <w:r w:rsidR="00073332">
        <w:rPr>
          <w:rFonts w:ascii="Arial" w:hAnsi="Arial" w:cs="Arial"/>
          <w:color w:val="000000" w:themeColor="text1"/>
          <w:sz w:val="20"/>
        </w:rPr>
        <w:t xml:space="preserve"> rispetto al primo trimestre 2020</w:t>
      </w:r>
      <w:r w:rsidRPr="00403E1A">
        <w:rPr>
          <w:rFonts w:ascii="Arial" w:hAnsi="Arial" w:cs="Arial"/>
          <w:color w:val="000000" w:themeColor="text1"/>
          <w:sz w:val="20"/>
        </w:rPr>
        <w:t>.</w:t>
      </w:r>
      <w:r w:rsidR="00073332">
        <w:rPr>
          <w:rFonts w:ascii="Arial" w:hAnsi="Arial" w:cs="Arial"/>
          <w:color w:val="000000" w:themeColor="text1"/>
          <w:sz w:val="20"/>
        </w:rPr>
        <w:t xml:space="preserve"> Molto positivo l’andamento degli ordini dai mercati esteri, </w:t>
      </w:r>
      <w:r w:rsidR="00566E4E">
        <w:rPr>
          <w:rFonts w:ascii="Arial" w:hAnsi="Arial" w:cs="Arial"/>
          <w:color w:val="000000" w:themeColor="text1"/>
          <w:sz w:val="20"/>
        </w:rPr>
        <w:t>aumentati</w:t>
      </w:r>
      <w:r w:rsidR="00073332">
        <w:rPr>
          <w:rFonts w:ascii="Arial" w:hAnsi="Arial" w:cs="Arial"/>
          <w:color w:val="000000" w:themeColor="text1"/>
          <w:sz w:val="20"/>
        </w:rPr>
        <w:t xml:space="preserve"> del 52 per cento; addirittura eclatante la domanda interna, cresciuta dell’87,8 per cento.</w:t>
      </w:r>
    </w:p>
    <w:p w14:paraId="4E25CDF6" w14:textId="038C9854" w:rsidR="00073332" w:rsidRDefault="00073332" w:rsidP="00196E13">
      <w:pPr>
        <w:tabs>
          <w:tab w:val="left" w:pos="426"/>
        </w:tabs>
        <w:ind w:left="426"/>
        <w:rPr>
          <w:rFonts w:ascii="Arial" w:hAnsi="Arial" w:cs="Arial"/>
          <w:color w:val="000000" w:themeColor="text1"/>
          <w:sz w:val="20"/>
        </w:rPr>
      </w:pPr>
      <w:r w:rsidRPr="00073332">
        <w:rPr>
          <w:rFonts w:ascii="Arial" w:hAnsi="Arial" w:cs="Arial"/>
          <w:i/>
          <w:iCs/>
          <w:color w:val="000000" w:themeColor="text1"/>
          <w:sz w:val="20"/>
        </w:rPr>
        <w:t xml:space="preserve">“Indubbiamente il confronto è con un periodo – il gennaio-marzo dello scorso anno – fortemente segnato dalle chiusure imposte dalla emergenza sanitaria mondiale, ma ciò non toglie che </w:t>
      </w:r>
      <w:r w:rsidR="00964F48">
        <w:rPr>
          <w:rFonts w:ascii="Arial" w:hAnsi="Arial" w:cs="Arial"/>
          <w:i/>
          <w:iCs/>
          <w:color w:val="000000" w:themeColor="text1"/>
          <w:sz w:val="20"/>
        </w:rPr>
        <w:t>il rimbalzo</w:t>
      </w:r>
      <w:r w:rsidRPr="00073332">
        <w:rPr>
          <w:rFonts w:ascii="Arial" w:hAnsi="Arial" w:cs="Arial"/>
          <w:i/>
          <w:iCs/>
          <w:color w:val="000000" w:themeColor="text1"/>
          <w:sz w:val="20"/>
        </w:rPr>
        <w:t xml:space="preserve"> sia di una portata superiore alle nostre aspettative, peraltro sostenute dai segnali positivi che erano già giunti </w:t>
      </w:r>
      <w:r w:rsidR="00964F48">
        <w:rPr>
          <w:rFonts w:ascii="Arial" w:hAnsi="Arial" w:cs="Arial"/>
          <w:i/>
          <w:iCs/>
          <w:color w:val="000000" w:themeColor="text1"/>
          <w:sz w:val="20"/>
        </w:rPr>
        <w:t>d</w:t>
      </w:r>
      <w:r w:rsidRPr="00073332">
        <w:rPr>
          <w:rFonts w:ascii="Arial" w:hAnsi="Arial" w:cs="Arial"/>
          <w:i/>
          <w:iCs/>
          <w:color w:val="000000" w:themeColor="text1"/>
          <w:sz w:val="20"/>
        </w:rPr>
        <w:t>all’ultimo trimestre 2020”,</w:t>
      </w:r>
      <w:r>
        <w:rPr>
          <w:rFonts w:ascii="Arial" w:hAnsi="Arial" w:cs="Arial"/>
          <w:color w:val="000000" w:themeColor="text1"/>
          <w:sz w:val="20"/>
        </w:rPr>
        <w:t xml:space="preserve"> ha aggiunto De Vito.</w:t>
      </w:r>
    </w:p>
    <w:p w14:paraId="568F0E22" w14:textId="491E1D9F" w:rsidR="00073332" w:rsidRDefault="00073332" w:rsidP="00196E13">
      <w:pPr>
        <w:tabs>
          <w:tab w:val="left" w:pos="426"/>
        </w:tabs>
        <w:ind w:left="426"/>
        <w:rPr>
          <w:rFonts w:ascii="Arial" w:hAnsi="Arial" w:cs="Arial"/>
          <w:color w:val="000000" w:themeColor="text1"/>
          <w:sz w:val="20"/>
        </w:rPr>
      </w:pPr>
    </w:p>
    <w:p w14:paraId="23632C7D" w14:textId="6392CAD8" w:rsidR="00073332" w:rsidRPr="000F01F9" w:rsidRDefault="00073332" w:rsidP="00196E13">
      <w:pPr>
        <w:tabs>
          <w:tab w:val="left" w:pos="426"/>
        </w:tabs>
        <w:ind w:left="426"/>
        <w:rPr>
          <w:rFonts w:ascii="Arial" w:hAnsi="Arial" w:cs="Arial"/>
          <w:color w:val="FF0000"/>
          <w:sz w:val="20"/>
        </w:rPr>
      </w:pPr>
      <w:r>
        <w:rPr>
          <w:rFonts w:ascii="Arial" w:hAnsi="Arial" w:cs="Arial"/>
          <w:color w:val="000000" w:themeColor="text1"/>
          <w:sz w:val="20"/>
        </w:rPr>
        <w:t>In termini assoluti l’ottimo andamento degli ordini di inizio 2021 riporta l’industria italiana delle tecnologie per il legno ai massimi livelli, registrati nel 2018, segnando un aumento congiunturale sul trimestre precedente di un ulteriore 17,6 per cento.</w:t>
      </w:r>
      <w:r w:rsidR="000F01F9">
        <w:rPr>
          <w:rFonts w:ascii="Arial" w:hAnsi="Arial" w:cs="Arial"/>
          <w:color w:val="000000" w:themeColor="text1"/>
          <w:sz w:val="20"/>
        </w:rPr>
        <w:t xml:space="preserve"> </w:t>
      </w:r>
    </w:p>
    <w:p w14:paraId="6F527F06" w14:textId="77777777" w:rsidR="00DE3BC7" w:rsidRPr="00403E1A" w:rsidRDefault="00DE3BC7" w:rsidP="00073332">
      <w:pPr>
        <w:widowControl w:val="0"/>
        <w:tabs>
          <w:tab w:val="left" w:pos="426"/>
        </w:tabs>
        <w:autoSpaceDE w:val="0"/>
        <w:autoSpaceDN w:val="0"/>
        <w:adjustRightInd w:val="0"/>
        <w:rPr>
          <w:rFonts w:ascii="Arial" w:hAnsi="Arial" w:cs="Arial"/>
          <w:color w:val="FF0000"/>
          <w:sz w:val="20"/>
        </w:rPr>
      </w:pPr>
    </w:p>
    <w:p w14:paraId="05B593D5" w14:textId="2A612956" w:rsidR="00884467" w:rsidRDefault="00073332" w:rsidP="00196E13">
      <w:pPr>
        <w:tabs>
          <w:tab w:val="left" w:pos="426"/>
        </w:tabs>
        <w:ind w:left="426"/>
        <w:rPr>
          <w:rFonts w:ascii="Arial" w:hAnsi="Arial" w:cs="Arial"/>
          <w:b/>
          <w:bCs/>
          <w:color w:val="FF0000"/>
          <w:sz w:val="20"/>
        </w:rPr>
      </w:pPr>
      <w:r w:rsidRPr="00884467">
        <w:rPr>
          <w:rFonts w:ascii="Arial" w:hAnsi="Arial" w:cs="Arial"/>
          <w:color w:val="000000" w:themeColor="text1"/>
          <w:sz w:val="20"/>
        </w:rPr>
        <w:t xml:space="preserve">Dalla </w:t>
      </w:r>
      <w:r w:rsidR="00DE3BC7" w:rsidRPr="00884467">
        <w:rPr>
          <w:rFonts w:ascii="Arial" w:hAnsi="Arial" w:cs="Arial"/>
          <w:color w:val="000000" w:themeColor="text1"/>
          <w:sz w:val="20"/>
        </w:rPr>
        <w:t xml:space="preserve">indagine trimestrale </w:t>
      </w:r>
      <w:r w:rsidRPr="00884467">
        <w:rPr>
          <w:rFonts w:ascii="Arial" w:hAnsi="Arial" w:cs="Arial"/>
          <w:color w:val="000000" w:themeColor="text1"/>
          <w:sz w:val="20"/>
        </w:rPr>
        <w:t xml:space="preserve">che </w:t>
      </w:r>
      <w:r w:rsidR="004559D3" w:rsidRPr="00884467">
        <w:rPr>
          <w:rFonts w:ascii="Arial" w:hAnsi="Arial" w:cs="Arial"/>
          <w:color w:val="000000" w:themeColor="text1"/>
          <w:sz w:val="20"/>
        </w:rPr>
        <w:t xml:space="preserve">l’Ufficio studi di </w:t>
      </w:r>
      <w:proofErr w:type="spellStart"/>
      <w:r w:rsidR="004559D3" w:rsidRPr="00884467">
        <w:rPr>
          <w:rFonts w:ascii="Arial" w:hAnsi="Arial" w:cs="Arial"/>
          <w:color w:val="000000" w:themeColor="text1"/>
          <w:sz w:val="20"/>
        </w:rPr>
        <w:t>Acimall</w:t>
      </w:r>
      <w:proofErr w:type="spellEnd"/>
      <w:r w:rsidR="004559D3" w:rsidRPr="00884467">
        <w:rPr>
          <w:rFonts w:ascii="Arial" w:hAnsi="Arial" w:cs="Arial"/>
          <w:color w:val="000000" w:themeColor="text1"/>
          <w:sz w:val="20"/>
        </w:rPr>
        <w:t xml:space="preserve"> </w:t>
      </w:r>
      <w:r w:rsidRPr="00884467">
        <w:rPr>
          <w:rFonts w:ascii="Arial" w:hAnsi="Arial" w:cs="Arial"/>
          <w:color w:val="000000" w:themeColor="text1"/>
          <w:sz w:val="20"/>
        </w:rPr>
        <w:t>realizza</w:t>
      </w:r>
      <w:r w:rsidR="000F01F9">
        <w:rPr>
          <w:rFonts w:ascii="Arial" w:hAnsi="Arial" w:cs="Arial"/>
          <w:color w:val="000000" w:themeColor="text1"/>
          <w:sz w:val="20"/>
        </w:rPr>
        <w:t>,</w:t>
      </w:r>
      <w:r w:rsidRPr="00884467">
        <w:rPr>
          <w:rFonts w:ascii="Arial" w:hAnsi="Arial" w:cs="Arial"/>
          <w:color w:val="000000" w:themeColor="text1"/>
          <w:sz w:val="20"/>
        </w:rPr>
        <w:t xml:space="preserve"> coinvolgendo </w:t>
      </w:r>
      <w:r w:rsidR="00DE3BC7" w:rsidRPr="00884467">
        <w:rPr>
          <w:rFonts w:ascii="Arial" w:hAnsi="Arial" w:cs="Arial"/>
          <w:color w:val="000000" w:themeColor="text1"/>
          <w:sz w:val="20"/>
        </w:rPr>
        <w:t>un cam</w:t>
      </w:r>
      <w:r w:rsidR="004559D3" w:rsidRPr="00884467">
        <w:rPr>
          <w:rFonts w:ascii="Arial" w:hAnsi="Arial" w:cs="Arial"/>
          <w:color w:val="000000" w:themeColor="text1"/>
          <w:sz w:val="20"/>
        </w:rPr>
        <w:t xml:space="preserve">pione statistico </w:t>
      </w:r>
      <w:r w:rsidR="000F01F9">
        <w:rPr>
          <w:rFonts w:ascii="Arial" w:hAnsi="Arial" w:cs="Arial"/>
          <w:color w:val="000000" w:themeColor="text1"/>
          <w:sz w:val="20"/>
        </w:rPr>
        <w:t>rappresentativo,</w:t>
      </w:r>
      <w:r w:rsidR="00DE3BC7" w:rsidRPr="00884467">
        <w:rPr>
          <w:rFonts w:ascii="Arial" w:hAnsi="Arial" w:cs="Arial"/>
          <w:color w:val="000000" w:themeColor="text1"/>
          <w:sz w:val="20"/>
        </w:rPr>
        <w:t xml:space="preserve"> </w:t>
      </w:r>
      <w:r w:rsidR="00884467" w:rsidRPr="00884467">
        <w:rPr>
          <w:rFonts w:ascii="Arial" w:hAnsi="Arial" w:cs="Arial"/>
          <w:color w:val="000000" w:themeColor="text1"/>
          <w:sz w:val="20"/>
        </w:rPr>
        <w:t xml:space="preserve">emerge </w:t>
      </w:r>
      <w:r w:rsidR="007611D0" w:rsidRPr="00884467">
        <w:rPr>
          <w:rFonts w:ascii="Arial" w:hAnsi="Arial" w:cs="Arial"/>
          <w:color w:val="000000" w:themeColor="text1"/>
          <w:sz w:val="20"/>
        </w:rPr>
        <w:t xml:space="preserve">inoltre </w:t>
      </w:r>
      <w:r w:rsidR="00DE3BC7" w:rsidRPr="00884467">
        <w:rPr>
          <w:rFonts w:ascii="Arial" w:hAnsi="Arial" w:cs="Arial"/>
          <w:color w:val="000000" w:themeColor="text1"/>
          <w:sz w:val="20"/>
        </w:rPr>
        <w:t xml:space="preserve">che il </w:t>
      </w:r>
      <w:r w:rsidR="00DE3BC7" w:rsidRPr="00884467">
        <w:rPr>
          <w:rFonts w:ascii="Arial" w:hAnsi="Arial" w:cs="Arial"/>
          <w:b/>
          <w:bCs/>
          <w:color w:val="000000" w:themeColor="text1"/>
          <w:sz w:val="20"/>
        </w:rPr>
        <w:t>carnet ordini</w:t>
      </w:r>
      <w:r w:rsidR="00DE3BC7" w:rsidRPr="00884467">
        <w:rPr>
          <w:rFonts w:ascii="Arial" w:hAnsi="Arial" w:cs="Arial"/>
          <w:color w:val="000000" w:themeColor="text1"/>
          <w:sz w:val="20"/>
        </w:rPr>
        <w:t xml:space="preserve"> </w:t>
      </w:r>
      <w:r w:rsidR="00DE3BC7" w:rsidRPr="000F01F9">
        <w:rPr>
          <w:rFonts w:ascii="Arial" w:hAnsi="Arial" w:cs="Arial"/>
          <w:color w:val="000000" w:themeColor="text1"/>
          <w:sz w:val="20"/>
        </w:rPr>
        <w:t xml:space="preserve">è pari a </w:t>
      </w:r>
      <w:r w:rsidR="000F01F9" w:rsidRPr="000F01F9">
        <w:rPr>
          <w:rFonts w:ascii="Arial" w:hAnsi="Arial" w:cs="Arial"/>
          <w:color w:val="000000" w:themeColor="text1"/>
          <w:sz w:val="20"/>
        </w:rPr>
        <w:t>4,1</w:t>
      </w:r>
      <w:r w:rsidR="00DE3BC7" w:rsidRPr="000F01F9">
        <w:rPr>
          <w:rFonts w:ascii="Arial" w:hAnsi="Arial" w:cs="Arial"/>
          <w:color w:val="000000" w:themeColor="text1"/>
          <w:sz w:val="20"/>
        </w:rPr>
        <w:t xml:space="preserve"> mesi, </w:t>
      </w:r>
      <w:r w:rsidR="00884467" w:rsidRPr="000F01F9">
        <w:rPr>
          <w:rFonts w:ascii="Arial" w:hAnsi="Arial" w:cs="Arial"/>
          <w:color w:val="000000" w:themeColor="text1"/>
          <w:sz w:val="20"/>
        </w:rPr>
        <w:t xml:space="preserve">mentre </w:t>
      </w:r>
      <w:r w:rsidR="00884467" w:rsidRPr="00884467">
        <w:rPr>
          <w:rFonts w:ascii="Arial" w:hAnsi="Arial" w:cs="Arial"/>
          <w:color w:val="000000" w:themeColor="text1"/>
          <w:sz w:val="20"/>
        </w:rPr>
        <w:t>la</w:t>
      </w:r>
      <w:r w:rsidR="00DE3BC7" w:rsidRPr="00884467">
        <w:rPr>
          <w:rFonts w:ascii="Arial" w:hAnsi="Arial" w:cs="Arial"/>
          <w:color w:val="000000" w:themeColor="text1"/>
          <w:sz w:val="20"/>
        </w:rPr>
        <w:t xml:space="preserve"> </w:t>
      </w:r>
      <w:r w:rsidR="00884467" w:rsidRPr="00884467">
        <w:rPr>
          <w:rFonts w:ascii="Arial" w:hAnsi="Arial" w:cs="Arial"/>
          <w:b/>
          <w:bCs/>
          <w:color w:val="000000" w:themeColor="text1"/>
          <w:sz w:val="20"/>
        </w:rPr>
        <w:t>variazione</w:t>
      </w:r>
      <w:r w:rsidR="00DE3BC7" w:rsidRPr="00884467">
        <w:rPr>
          <w:rFonts w:ascii="Arial" w:hAnsi="Arial" w:cs="Arial"/>
          <w:b/>
          <w:bCs/>
          <w:color w:val="000000" w:themeColor="text1"/>
          <w:sz w:val="20"/>
        </w:rPr>
        <w:t xml:space="preserve"> dei prezzi </w:t>
      </w:r>
      <w:r w:rsidR="000F01F9">
        <w:rPr>
          <w:rFonts w:ascii="Arial" w:hAnsi="Arial" w:cs="Arial"/>
          <w:color w:val="000000" w:themeColor="text1"/>
          <w:sz w:val="20"/>
        </w:rPr>
        <w:t>dal primo gennaio di quest’anno</w:t>
      </w:r>
      <w:r w:rsidR="00DE3BC7" w:rsidRPr="00884467">
        <w:rPr>
          <w:rFonts w:ascii="Arial" w:hAnsi="Arial" w:cs="Arial"/>
          <w:color w:val="000000" w:themeColor="text1"/>
          <w:sz w:val="20"/>
        </w:rPr>
        <w:t xml:space="preserve"> </w:t>
      </w:r>
      <w:r w:rsidR="00884467" w:rsidRPr="00884467">
        <w:rPr>
          <w:rFonts w:ascii="Arial" w:hAnsi="Arial" w:cs="Arial"/>
          <w:color w:val="000000" w:themeColor="text1"/>
          <w:sz w:val="20"/>
        </w:rPr>
        <w:t>è pari all’1</w:t>
      </w:r>
      <w:r w:rsidR="00DE3BC7" w:rsidRPr="00884467">
        <w:rPr>
          <w:rFonts w:ascii="Arial" w:hAnsi="Arial" w:cs="Arial"/>
          <w:color w:val="000000" w:themeColor="text1"/>
          <w:sz w:val="20"/>
        </w:rPr>
        <w:t xml:space="preserve"> per cento.</w:t>
      </w:r>
      <w:r w:rsidR="00C60722" w:rsidRPr="00884467">
        <w:rPr>
          <w:rFonts w:ascii="Arial" w:hAnsi="Arial" w:cs="Arial"/>
          <w:color w:val="000000" w:themeColor="text1"/>
          <w:sz w:val="20"/>
        </w:rPr>
        <w:t xml:space="preserve"> </w:t>
      </w:r>
      <w:r w:rsidR="00DE3BC7" w:rsidRPr="00884467">
        <w:rPr>
          <w:rFonts w:ascii="Arial" w:hAnsi="Arial" w:cs="Arial"/>
          <w:color w:val="000000" w:themeColor="text1"/>
          <w:sz w:val="20"/>
        </w:rPr>
        <w:t xml:space="preserve">Il </w:t>
      </w:r>
      <w:r w:rsidR="00DE3BC7" w:rsidRPr="00884467">
        <w:rPr>
          <w:rFonts w:ascii="Arial" w:hAnsi="Arial" w:cs="Arial"/>
          <w:b/>
          <w:bCs/>
          <w:color w:val="000000" w:themeColor="text1"/>
          <w:sz w:val="20"/>
        </w:rPr>
        <w:t>fatturato</w:t>
      </w:r>
      <w:r w:rsidR="00884467" w:rsidRPr="00884467">
        <w:rPr>
          <w:rFonts w:ascii="Arial" w:hAnsi="Arial" w:cs="Arial"/>
          <w:color w:val="000000" w:themeColor="text1"/>
          <w:sz w:val="20"/>
        </w:rPr>
        <w:t>, rispetto al primo trimestre 2020, aumenta del 2,4 per cento.</w:t>
      </w:r>
    </w:p>
    <w:p w14:paraId="24839A6A" w14:textId="77777777" w:rsidR="00DE3BC7" w:rsidRPr="00403E1A" w:rsidRDefault="00DE3BC7" w:rsidP="00196E13">
      <w:pPr>
        <w:tabs>
          <w:tab w:val="left" w:pos="426"/>
        </w:tabs>
        <w:ind w:left="426"/>
        <w:rPr>
          <w:rFonts w:ascii="Arial" w:hAnsi="Arial" w:cs="Arial"/>
          <w:color w:val="FF0000"/>
          <w:sz w:val="20"/>
        </w:rPr>
      </w:pPr>
    </w:p>
    <w:p w14:paraId="26E845A0" w14:textId="08D70F27" w:rsidR="00B0713B" w:rsidRPr="000D4C7B" w:rsidRDefault="00B0713B" w:rsidP="00196E13">
      <w:pPr>
        <w:widowControl w:val="0"/>
        <w:tabs>
          <w:tab w:val="left" w:pos="426"/>
        </w:tabs>
        <w:autoSpaceDE w:val="0"/>
        <w:autoSpaceDN w:val="0"/>
        <w:adjustRightInd w:val="0"/>
        <w:ind w:left="426"/>
        <w:rPr>
          <w:rFonts w:ascii="Arial" w:hAnsi="Arial" w:cs="Arial"/>
          <w:color w:val="000000" w:themeColor="text1"/>
          <w:sz w:val="20"/>
        </w:rPr>
      </w:pPr>
      <w:r w:rsidRPr="00C17DC8">
        <w:rPr>
          <w:rFonts w:ascii="Arial" w:hAnsi="Arial" w:cs="Arial"/>
          <w:color w:val="000000" w:themeColor="text1"/>
          <w:sz w:val="20"/>
        </w:rPr>
        <w:t xml:space="preserve">Gli intervistati hanno fornito indicazioni chiare anche </w:t>
      </w:r>
      <w:r w:rsidR="00DD038E" w:rsidRPr="00C17DC8">
        <w:rPr>
          <w:rFonts w:ascii="Arial" w:hAnsi="Arial" w:cs="Arial"/>
          <w:color w:val="000000" w:themeColor="text1"/>
          <w:sz w:val="20"/>
        </w:rPr>
        <w:t xml:space="preserve">sul versante della </w:t>
      </w:r>
      <w:r w:rsidR="00DD038E" w:rsidRPr="00C17DC8">
        <w:rPr>
          <w:rFonts w:ascii="Arial" w:hAnsi="Arial" w:cs="Arial"/>
          <w:b/>
          <w:bCs/>
          <w:color w:val="000000" w:themeColor="text1"/>
          <w:sz w:val="20"/>
        </w:rPr>
        <w:t>i</w:t>
      </w:r>
      <w:r w:rsidR="00DE3BC7" w:rsidRPr="00C17DC8">
        <w:rPr>
          <w:rFonts w:ascii="Arial" w:hAnsi="Arial" w:cs="Arial"/>
          <w:b/>
          <w:bCs/>
          <w:color w:val="000000" w:themeColor="text1"/>
          <w:sz w:val="20"/>
        </w:rPr>
        <w:t>ndagine qualitativa</w:t>
      </w:r>
      <w:r w:rsidR="00DD038E" w:rsidRPr="00C17DC8">
        <w:rPr>
          <w:rFonts w:ascii="Arial" w:hAnsi="Arial" w:cs="Arial"/>
          <w:color w:val="000000" w:themeColor="text1"/>
          <w:sz w:val="20"/>
        </w:rPr>
        <w:t xml:space="preserve">: il </w:t>
      </w:r>
      <w:r w:rsidR="00884467" w:rsidRPr="00C17DC8">
        <w:rPr>
          <w:rFonts w:ascii="Arial" w:hAnsi="Arial" w:cs="Arial"/>
          <w:color w:val="000000" w:themeColor="text1"/>
          <w:sz w:val="20"/>
        </w:rPr>
        <w:t>75</w:t>
      </w:r>
      <w:r w:rsidR="00DD038E" w:rsidRPr="00C17DC8">
        <w:rPr>
          <w:rFonts w:ascii="Arial" w:hAnsi="Arial" w:cs="Arial"/>
          <w:color w:val="000000" w:themeColor="text1"/>
          <w:sz w:val="20"/>
        </w:rPr>
        <w:t xml:space="preserve"> per cento del campione</w:t>
      </w:r>
      <w:r w:rsidRPr="00C17DC8">
        <w:rPr>
          <w:rFonts w:ascii="Arial" w:hAnsi="Arial" w:cs="Arial"/>
          <w:color w:val="000000" w:themeColor="text1"/>
          <w:sz w:val="20"/>
        </w:rPr>
        <w:t xml:space="preserve"> indica un </w:t>
      </w:r>
      <w:r w:rsidRPr="00571373">
        <w:rPr>
          <w:rFonts w:ascii="Arial" w:hAnsi="Arial" w:cs="Arial"/>
          <w:color w:val="000000" w:themeColor="text1"/>
          <w:sz w:val="20"/>
        </w:rPr>
        <w:t>trend di produzione positivo</w:t>
      </w:r>
      <w:r w:rsidR="00884467" w:rsidRPr="00571373">
        <w:rPr>
          <w:rFonts w:ascii="Arial" w:hAnsi="Arial" w:cs="Arial"/>
          <w:color w:val="000000" w:themeColor="text1"/>
          <w:sz w:val="20"/>
        </w:rPr>
        <w:t xml:space="preserve"> (era il 50 per cento nel trimestre precedente, segno evidente di una crescente fiducia in mercati più “reattivi”)</w:t>
      </w:r>
      <w:r w:rsidR="000F01F9">
        <w:rPr>
          <w:rFonts w:ascii="Arial" w:hAnsi="Arial" w:cs="Arial"/>
          <w:color w:val="000000" w:themeColor="text1"/>
          <w:sz w:val="20"/>
        </w:rPr>
        <w:t>;</w:t>
      </w:r>
      <w:r w:rsidRPr="00571373">
        <w:rPr>
          <w:rFonts w:ascii="Arial" w:hAnsi="Arial" w:cs="Arial"/>
          <w:color w:val="000000" w:themeColor="text1"/>
          <w:sz w:val="20"/>
        </w:rPr>
        <w:t xml:space="preserve"> </w:t>
      </w:r>
      <w:r w:rsidRPr="000D4C7B">
        <w:rPr>
          <w:rFonts w:ascii="Arial" w:hAnsi="Arial" w:cs="Arial"/>
          <w:color w:val="000000" w:themeColor="text1"/>
          <w:sz w:val="20"/>
        </w:rPr>
        <w:t xml:space="preserve">il </w:t>
      </w:r>
      <w:r w:rsidR="00B97711" w:rsidRPr="000D4C7B">
        <w:rPr>
          <w:rFonts w:ascii="Arial" w:hAnsi="Arial" w:cs="Arial"/>
          <w:color w:val="000000" w:themeColor="text1"/>
          <w:sz w:val="20"/>
        </w:rPr>
        <w:t>5</w:t>
      </w:r>
      <w:r w:rsidRPr="000D4C7B">
        <w:rPr>
          <w:rFonts w:ascii="Arial" w:hAnsi="Arial" w:cs="Arial"/>
          <w:color w:val="000000" w:themeColor="text1"/>
          <w:sz w:val="20"/>
        </w:rPr>
        <w:t xml:space="preserve"> per cento </w:t>
      </w:r>
      <w:r w:rsidR="007611D0" w:rsidRPr="000D4C7B">
        <w:rPr>
          <w:rFonts w:ascii="Arial" w:hAnsi="Arial" w:cs="Arial"/>
          <w:color w:val="000000" w:themeColor="text1"/>
          <w:sz w:val="20"/>
        </w:rPr>
        <w:t>rivela</w:t>
      </w:r>
      <w:r w:rsidRPr="000D4C7B">
        <w:rPr>
          <w:rFonts w:ascii="Arial" w:hAnsi="Arial" w:cs="Arial"/>
          <w:color w:val="000000" w:themeColor="text1"/>
          <w:sz w:val="20"/>
        </w:rPr>
        <w:t xml:space="preserve"> un calo</w:t>
      </w:r>
      <w:r w:rsidR="007611D0" w:rsidRPr="000D4C7B">
        <w:rPr>
          <w:rFonts w:ascii="Arial" w:hAnsi="Arial" w:cs="Arial"/>
          <w:color w:val="000000" w:themeColor="text1"/>
          <w:sz w:val="20"/>
        </w:rPr>
        <w:t>,</w:t>
      </w:r>
      <w:r w:rsidRPr="000D4C7B">
        <w:rPr>
          <w:rFonts w:ascii="Arial" w:hAnsi="Arial" w:cs="Arial"/>
          <w:color w:val="000000" w:themeColor="text1"/>
          <w:sz w:val="20"/>
        </w:rPr>
        <w:t xml:space="preserve"> il </w:t>
      </w:r>
      <w:r w:rsidR="009D025A" w:rsidRPr="000D4C7B">
        <w:rPr>
          <w:rFonts w:ascii="Arial" w:hAnsi="Arial" w:cs="Arial"/>
          <w:color w:val="000000" w:themeColor="text1"/>
          <w:sz w:val="20"/>
        </w:rPr>
        <w:t>20</w:t>
      </w:r>
      <w:r w:rsidRPr="000D4C7B">
        <w:rPr>
          <w:rFonts w:ascii="Arial" w:hAnsi="Arial" w:cs="Arial"/>
          <w:color w:val="000000" w:themeColor="text1"/>
          <w:sz w:val="20"/>
        </w:rPr>
        <w:t xml:space="preserve"> per cento </w:t>
      </w:r>
      <w:r w:rsidR="007611D0" w:rsidRPr="000D4C7B">
        <w:rPr>
          <w:rFonts w:ascii="Arial" w:hAnsi="Arial" w:cs="Arial"/>
          <w:color w:val="000000" w:themeColor="text1"/>
          <w:sz w:val="20"/>
        </w:rPr>
        <w:t>dichiara</w:t>
      </w:r>
      <w:r w:rsidRPr="000D4C7B">
        <w:rPr>
          <w:rFonts w:ascii="Arial" w:hAnsi="Arial" w:cs="Arial"/>
          <w:color w:val="000000" w:themeColor="text1"/>
          <w:sz w:val="20"/>
        </w:rPr>
        <w:t xml:space="preserve"> una sostanziale stabilità. </w:t>
      </w:r>
      <w:r w:rsidR="00C17DC8" w:rsidRPr="000D4C7B">
        <w:rPr>
          <w:rFonts w:ascii="Arial" w:hAnsi="Arial" w:cs="Arial"/>
          <w:color w:val="000000" w:themeColor="text1"/>
          <w:sz w:val="20"/>
        </w:rPr>
        <w:t xml:space="preserve">Indicazioni </w:t>
      </w:r>
      <w:r w:rsidR="000F01F9" w:rsidRPr="000D4C7B">
        <w:rPr>
          <w:rFonts w:ascii="Arial" w:hAnsi="Arial" w:cs="Arial"/>
          <w:color w:val="000000" w:themeColor="text1"/>
          <w:sz w:val="20"/>
        </w:rPr>
        <w:t>di</w:t>
      </w:r>
      <w:r w:rsidR="00C17DC8" w:rsidRPr="000D4C7B">
        <w:rPr>
          <w:rFonts w:ascii="Arial" w:hAnsi="Arial" w:cs="Arial"/>
          <w:color w:val="000000" w:themeColor="text1"/>
          <w:sz w:val="20"/>
        </w:rPr>
        <w:t xml:space="preserve"> crescita anche sul versante </w:t>
      </w:r>
      <w:r w:rsidRPr="000D4C7B">
        <w:rPr>
          <w:rFonts w:ascii="Arial" w:hAnsi="Arial" w:cs="Arial"/>
          <w:b/>
          <w:color w:val="000000" w:themeColor="text1"/>
          <w:sz w:val="20"/>
        </w:rPr>
        <w:t>occupazione</w:t>
      </w:r>
      <w:r w:rsidR="00C17DC8" w:rsidRPr="000D4C7B">
        <w:rPr>
          <w:rFonts w:ascii="Arial" w:hAnsi="Arial" w:cs="Arial"/>
          <w:color w:val="000000" w:themeColor="text1"/>
          <w:sz w:val="20"/>
        </w:rPr>
        <w:t>: il 5</w:t>
      </w:r>
      <w:r w:rsidR="00B97711" w:rsidRPr="000D4C7B">
        <w:rPr>
          <w:rFonts w:ascii="Arial" w:hAnsi="Arial" w:cs="Arial"/>
          <w:color w:val="000000" w:themeColor="text1"/>
          <w:sz w:val="20"/>
        </w:rPr>
        <w:t>5</w:t>
      </w:r>
      <w:r w:rsidR="00C17DC8" w:rsidRPr="000D4C7B">
        <w:rPr>
          <w:rFonts w:ascii="Arial" w:hAnsi="Arial" w:cs="Arial"/>
          <w:color w:val="000000" w:themeColor="text1"/>
          <w:sz w:val="20"/>
        </w:rPr>
        <w:t xml:space="preserve"> per cento indica una sostanziale stabilità e ben il 40 per cento degli intervistati indica un aumento; in calo per i</w:t>
      </w:r>
      <w:r w:rsidRPr="000D4C7B">
        <w:rPr>
          <w:rFonts w:ascii="Arial" w:hAnsi="Arial" w:cs="Arial"/>
          <w:color w:val="000000" w:themeColor="text1"/>
          <w:sz w:val="20"/>
        </w:rPr>
        <w:t xml:space="preserve">l </w:t>
      </w:r>
      <w:r w:rsidR="00C17DC8" w:rsidRPr="000D4C7B">
        <w:rPr>
          <w:rFonts w:ascii="Arial" w:hAnsi="Arial" w:cs="Arial"/>
          <w:color w:val="000000" w:themeColor="text1"/>
          <w:sz w:val="20"/>
        </w:rPr>
        <w:t>restante 5</w:t>
      </w:r>
      <w:r w:rsidRPr="000D4C7B">
        <w:rPr>
          <w:rFonts w:ascii="Arial" w:hAnsi="Arial" w:cs="Arial"/>
          <w:color w:val="000000" w:themeColor="text1"/>
          <w:sz w:val="20"/>
        </w:rPr>
        <w:t xml:space="preserve"> per cento. </w:t>
      </w:r>
      <w:r w:rsidRPr="000D4C7B">
        <w:rPr>
          <w:rFonts w:ascii="Arial" w:hAnsi="Arial" w:cs="Arial"/>
          <w:b/>
          <w:color w:val="000000" w:themeColor="text1"/>
          <w:sz w:val="20"/>
        </w:rPr>
        <w:t>Giacenze</w:t>
      </w:r>
      <w:r w:rsidRPr="000D4C7B">
        <w:rPr>
          <w:rFonts w:ascii="Arial" w:hAnsi="Arial" w:cs="Arial"/>
          <w:color w:val="000000" w:themeColor="text1"/>
          <w:sz w:val="20"/>
        </w:rPr>
        <w:t xml:space="preserve"> in </w:t>
      </w:r>
      <w:r w:rsidR="00571373" w:rsidRPr="000D4C7B">
        <w:rPr>
          <w:rFonts w:ascii="Arial" w:hAnsi="Arial" w:cs="Arial"/>
          <w:color w:val="000000" w:themeColor="text1"/>
          <w:sz w:val="20"/>
        </w:rPr>
        <w:t xml:space="preserve">aumento per il 40 </w:t>
      </w:r>
      <w:r w:rsidR="00571373" w:rsidRPr="00571373">
        <w:rPr>
          <w:rFonts w:ascii="Arial" w:hAnsi="Arial" w:cs="Arial"/>
          <w:color w:val="000000" w:themeColor="text1"/>
          <w:sz w:val="20"/>
        </w:rPr>
        <w:t xml:space="preserve">per cento degli intervistati, in </w:t>
      </w:r>
      <w:r w:rsidR="007611D0" w:rsidRPr="00571373">
        <w:rPr>
          <w:rFonts w:ascii="Arial" w:hAnsi="Arial" w:cs="Arial"/>
          <w:color w:val="000000" w:themeColor="text1"/>
          <w:sz w:val="20"/>
        </w:rPr>
        <w:t>diminuzione</w:t>
      </w:r>
      <w:r w:rsidRPr="00571373">
        <w:rPr>
          <w:rFonts w:ascii="Arial" w:hAnsi="Arial" w:cs="Arial"/>
          <w:color w:val="000000" w:themeColor="text1"/>
          <w:sz w:val="20"/>
        </w:rPr>
        <w:t xml:space="preserve"> per il </w:t>
      </w:r>
      <w:r w:rsidR="00571373" w:rsidRPr="00B651F1">
        <w:rPr>
          <w:rFonts w:ascii="Arial" w:hAnsi="Arial" w:cs="Arial"/>
          <w:color w:val="000000" w:themeColor="text1"/>
          <w:sz w:val="20"/>
        </w:rPr>
        <w:t>20</w:t>
      </w:r>
      <w:r w:rsidRPr="00B651F1">
        <w:rPr>
          <w:rFonts w:ascii="Arial" w:hAnsi="Arial" w:cs="Arial"/>
          <w:color w:val="000000" w:themeColor="text1"/>
          <w:sz w:val="20"/>
        </w:rPr>
        <w:t xml:space="preserve"> per cento del campione, </w:t>
      </w:r>
      <w:r w:rsidR="007611D0" w:rsidRPr="000D4C7B">
        <w:rPr>
          <w:rFonts w:ascii="Arial" w:hAnsi="Arial" w:cs="Arial"/>
          <w:color w:val="000000" w:themeColor="text1"/>
          <w:sz w:val="20"/>
        </w:rPr>
        <w:t>stabili</w:t>
      </w:r>
      <w:r w:rsidRPr="000D4C7B">
        <w:rPr>
          <w:rFonts w:ascii="Arial" w:hAnsi="Arial" w:cs="Arial"/>
          <w:color w:val="000000" w:themeColor="text1"/>
          <w:sz w:val="20"/>
        </w:rPr>
        <w:t xml:space="preserve"> per il </w:t>
      </w:r>
      <w:r w:rsidR="00571373" w:rsidRPr="000D4C7B">
        <w:rPr>
          <w:rFonts w:ascii="Arial" w:hAnsi="Arial" w:cs="Arial"/>
          <w:color w:val="000000" w:themeColor="text1"/>
          <w:sz w:val="20"/>
        </w:rPr>
        <w:t>40</w:t>
      </w:r>
      <w:r w:rsidRPr="000D4C7B">
        <w:rPr>
          <w:rFonts w:ascii="Arial" w:hAnsi="Arial" w:cs="Arial"/>
          <w:color w:val="000000" w:themeColor="text1"/>
          <w:sz w:val="20"/>
        </w:rPr>
        <w:t xml:space="preserve"> per cento. </w:t>
      </w:r>
    </w:p>
    <w:p w14:paraId="6111A8FD" w14:textId="77777777" w:rsidR="001F0D52" w:rsidRPr="000D4C7B" w:rsidRDefault="001F0D52" w:rsidP="00196E13">
      <w:pPr>
        <w:widowControl w:val="0"/>
        <w:tabs>
          <w:tab w:val="left" w:pos="426"/>
        </w:tabs>
        <w:autoSpaceDE w:val="0"/>
        <w:autoSpaceDN w:val="0"/>
        <w:adjustRightInd w:val="0"/>
        <w:ind w:left="426"/>
        <w:rPr>
          <w:rFonts w:ascii="Arial" w:hAnsi="Arial" w:cs="Arial"/>
          <w:color w:val="000000" w:themeColor="text1"/>
          <w:sz w:val="20"/>
        </w:rPr>
      </w:pPr>
    </w:p>
    <w:p w14:paraId="380FD5E1" w14:textId="61D0DAB8" w:rsidR="00B651F1" w:rsidRPr="00B651F1" w:rsidRDefault="00654A2A" w:rsidP="00196E13">
      <w:pPr>
        <w:widowControl w:val="0"/>
        <w:tabs>
          <w:tab w:val="left" w:pos="426"/>
        </w:tabs>
        <w:autoSpaceDE w:val="0"/>
        <w:autoSpaceDN w:val="0"/>
        <w:adjustRightInd w:val="0"/>
        <w:ind w:left="426"/>
        <w:rPr>
          <w:rFonts w:ascii="Arial" w:hAnsi="Arial" w:cs="Arial"/>
          <w:color w:val="FF0000"/>
          <w:sz w:val="20"/>
        </w:rPr>
      </w:pPr>
      <w:r w:rsidRPr="000D4C7B">
        <w:rPr>
          <w:rFonts w:ascii="Arial" w:hAnsi="Arial" w:cs="Arial"/>
          <w:color w:val="000000" w:themeColor="text1"/>
          <w:sz w:val="20"/>
        </w:rPr>
        <w:t>Dal</w:t>
      </w:r>
      <w:r w:rsidR="001F0D52" w:rsidRPr="000D4C7B">
        <w:rPr>
          <w:rFonts w:ascii="Arial" w:hAnsi="Arial" w:cs="Arial"/>
          <w:color w:val="000000" w:themeColor="text1"/>
          <w:sz w:val="20"/>
        </w:rPr>
        <w:t>l</w:t>
      </w:r>
      <w:r w:rsidR="000F01F9" w:rsidRPr="000D4C7B">
        <w:rPr>
          <w:rFonts w:ascii="Arial" w:hAnsi="Arial" w:cs="Arial"/>
          <w:color w:val="000000" w:themeColor="text1"/>
          <w:sz w:val="20"/>
        </w:rPr>
        <w:t xml:space="preserve">a </w:t>
      </w:r>
      <w:r w:rsidR="001F0D52" w:rsidRPr="000D4C7B">
        <w:rPr>
          <w:rFonts w:ascii="Arial" w:hAnsi="Arial" w:cs="Arial"/>
          <w:b/>
          <w:color w:val="000000" w:themeColor="text1"/>
          <w:sz w:val="20"/>
        </w:rPr>
        <w:t xml:space="preserve">indagine </w:t>
      </w:r>
      <w:r w:rsidR="0068221D" w:rsidRPr="000D4C7B">
        <w:rPr>
          <w:rFonts w:ascii="Arial" w:hAnsi="Arial" w:cs="Arial"/>
          <w:b/>
          <w:color w:val="000000" w:themeColor="text1"/>
          <w:sz w:val="20"/>
        </w:rPr>
        <w:t xml:space="preserve">previsionale </w:t>
      </w:r>
      <w:r w:rsidRPr="000D4C7B">
        <w:rPr>
          <w:rFonts w:ascii="Arial" w:hAnsi="Arial" w:cs="Arial"/>
          <w:bCs/>
          <w:color w:val="000000" w:themeColor="text1"/>
          <w:sz w:val="20"/>
        </w:rPr>
        <w:t xml:space="preserve">emerge che per il 55 per cento degli intervistati l’andamento </w:t>
      </w:r>
      <w:r w:rsidR="00B97711" w:rsidRPr="000D4C7B">
        <w:rPr>
          <w:rFonts w:ascii="Arial" w:hAnsi="Arial" w:cs="Arial"/>
          <w:bCs/>
          <w:color w:val="000000" w:themeColor="text1"/>
          <w:sz w:val="20"/>
        </w:rPr>
        <w:t>delle esportazioni</w:t>
      </w:r>
      <w:r w:rsidRPr="000D4C7B">
        <w:rPr>
          <w:rFonts w:ascii="Arial" w:hAnsi="Arial" w:cs="Arial"/>
          <w:bCs/>
          <w:color w:val="000000" w:themeColor="text1"/>
          <w:sz w:val="20"/>
        </w:rPr>
        <w:t xml:space="preserve"> si assesterà sui valori attuali</w:t>
      </w:r>
      <w:r w:rsidR="00B651F1" w:rsidRPr="000D4C7B">
        <w:rPr>
          <w:rFonts w:ascii="Arial" w:hAnsi="Arial" w:cs="Arial"/>
          <w:color w:val="000000" w:themeColor="text1"/>
          <w:sz w:val="20"/>
        </w:rPr>
        <w:t xml:space="preserve">, mentre il 45 per cento è convinto che le cose non potranno che andare meglio. Nessuno </w:t>
      </w:r>
      <w:r w:rsidR="00B651F1" w:rsidRPr="000D4C7B">
        <w:rPr>
          <w:rFonts w:ascii="Arial" w:hAnsi="Arial" w:cs="Arial"/>
          <w:color w:val="000000" w:themeColor="text1"/>
          <w:sz w:val="20"/>
        </w:rPr>
        <w:softHyphen/>
        <w:t xml:space="preserve">– dato decisamente significativo della </w:t>
      </w:r>
      <w:r w:rsidR="00B651F1" w:rsidRPr="00B651F1">
        <w:rPr>
          <w:rFonts w:ascii="Arial" w:hAnsi="Arial" w:cs="Arial"/>
          <w:color w:val="000000" w:themeColor="text1"/>
          <w:sz w:val="20"/>
        </w:rPr>
        <w:t>fiducia verso il futuro – ritiene che possa attenderci un peggioramento.</w:t>
      </w:r>
      <w:r w:rsidR="00B651F1" w:rsidRPr="00B651F1">
        <w:rPr>
          <w:rFonts w:ascii="Arial" w:hAnsi="Arial" w:cs="Arial"/>
          <w:color w:val="FF0000"/>
          <w:sz w:val="20"/>
        </w:rPr>
        <w:t xml:space="preserve"> </w:t>
      </w:r>
      <w:r w:rsidR="00B651F1">
        <w:rPr>
          <w:rFonts w:ascii="Arial" w:hAnsi="Arial" w:cs="Arial"/>
          <w:color w:val="000000" w:themeColor="text1"/>
          <w:sz w:val="20"/>
        </w:rPr>
        <w:t xml:space="preserve">Prendendo in considerazione il solo </w:t>
      </w:r>
      <w:r w:rsidR="00B651F1" w:rsidRPr="000F01F9">
        <w:rPr>
          <w:rFonts w:ascii="Arial" w:hAnsi="Arial" w:cs="Arial"/>
          <w:b/>
          <w:bCs/>
          <w:color w:val="000000" w:themeColor="text1"/>
          <w:sz w:val="20"/>
        </w:rPr>
        <w:t>mercato interno</w:t>
      </w:r>
      <w:r w:rsidR="00B651F1">
        <w:rPr>
          <w:rFonts w:ascii="Arial" w:hAnsi="Arial" w:cs="Arial"/>
          <w:color w:val="000000" w:themeColor="text1"/>
          <w:sz w:val="20"/>
        </w:rPr>
        <w:t xml:space="preserve"> i dati si invertono: il 55 per cento del campione si pronuncia p</w:t>
      </w:r>
      <w:r w:rsidR="00B651F1" w:rsidRPr="000F01F9">
        <w:rPr>
          <w:rFonts w:ascii="Arial" w:hAnsi="Arial" w:cs="Arial"/>
          <w:color w:val="000000" w:themeColor="text1"/>
          <w:sz w:val="20"/>
        </w:rPr>
        <w:t>er una ulteriore crescita, il 4</w:t>
      </w:r>
      <w:r w:rsidR="000F01F9" w:rsidRPr="000F01F9">
        <w:rPr>
          <w:rFonts w:ascii="Arial" w:hAnsi="Arial" w:cs="Arial"/>
          <w:color w:val="000000" w:themeColor="text1"/>
          <w:sz w:val="20"/>
        </w:rPr>
        <w:t>0</w:t>
      </w:r>
      <w:r w:rsidR="00B651F1" w:rsidRPr="000F01F9">
        <w:rPr>
          <w:rFonts w:ascii="Arial" w:hAnsi="Arial" w:cs="Arial"/>
          <w:color w:val="000000" w:themeColor="text1"/>
          <w:sz w:val="20"/>
        </w:rPr>
        <w:t xml:space="preserve"> per cento vede stabilità</w:t>
      </w:r>
      <w:r w:rsidR="000F01F9" w:rsidRPr="000F01F9">
        <w:rPr>
          <w:rFonts w:ascii="Arial" w:hAnsi="Arial" w:cs="Arial"/>
          <w:color w:val="000000" w:themeColor="text1"/>
          <w:sz w:val="20"/>
        </w:rPr>
        <w:t>, il 5 per cento pensa ci sarà una flessione.</w:t>
      </w:r>
    </w:p>
    <w:p w14:paraId="034314F4" w14:textId="77777777" w:rsidR="00B651F1" w:rsidRDefault="00B651F1" w:rsidP="00196E13">
      <w:pPr>
        <w:widowControl w:val="0"/>
        <w:tabs>
          <w:tab w:val="left" w:pos="426"/>
        </w:tabs>
        <w:autoSpaceDE w:val="0"/>
        <w:autoSpaceDN w:val="0"/>
        <w:adjustRightInd w:val="0"/>
        <w:ind w:left="426"/>
        <w:rPr>
          <w:rFonts w:ascii="Arial" w:hAnsi="Arial" w:cs="Arial"/>
          <w:color w:val="FF0000"/>
          <w:sz w:val="20"/>
        </w:rPr>
      </w:pPr>
    </w:p>
    <w:p w14:paraId="7696BC7A" w14:textId="77777777" w:rsidR="0068221D" w:rsidRPr="00403E1A" w:rsidRDefault="0068221D" w:rsidP="00196E13">
      <w:pPr>
        <w:widowControl w:val="0"/>
        <w:tabs>
          <w:tab w:val="left" w:pos="426"/>
        </w:tabs>
        <w:autoSpaceDE w:val="0"/>
        <w:autoSpaceDN w:val="0"/>
        <w:adjustRightInd w:val="0"/>
        <w:ind w:left="426"/>
        <w:rPr>
          <w:rFonts w:ascii="Arial" w:hAnsi="Arial" w:cs="Arial"/>
          <w:color w:val="FF0000"/>
          <w:sz w:val="20"/>
        </w:rPr>
      </w:pPr>
    </w:p>
    <w:p w14:paraId="43557A56" w14:textId="4B1E8A16" w:rsidR="005D6F46" w:rsidRPr="00403E1A" w:rsidRDefault="001F0D52" w:rsidP="00196E13">
      <w:pPr>
        <w:widowControl w:val="0"/>
        <w:tabs>
          <w:tab w:val="left" w:pos="426"/>
        </w:tabs>
        <w:autoSpaceDE w:val="0"/>
        <w:autoSpaceDN w:val="0"/>
        <w:adjustRightInd w:val="0"/>
        <w:ind w:left="426"/>
        <w:rPr>
          <w:rFonts w:ascii="Arial" w:hAnsi="Arial" w:cs="Arial"/>
          <w:color w:val="FF0000"/>
          <w:sz w:val="20"/>
        </w:rPr>
      </w:pPr>
      <w:r w:rsidRPr="00403E1A">
        <w:rPr>
          <w:rFonts w:ascii="Arial" w:hAnsi="Arial" w:cs="Arial"/>
          <w:color w:val="FF0000"/>
          <w:sz w:val="20"/>
        </w:rPr>
        <w:t xml:space="preserve"> </w:t>
      </w:r>
    </w:p>
    <w:p w14:paraId="796779FE" w14:textId="77777777" w:rsidR="00C91D54" w:rsidRPr="00403E1A" w:rsidRDefault="00C91D54" w:rsidP="00196E13">
      <w:pPr>
        <w:tabs>
          <w:tab w:val="left" w:pos="426"/>
        </w:tabs>
        <w:ind w:left="426"/>
        <w:rPr>
          <w:rFonts w:ascii="Arial" w:hAnsi="Arial" w:cs="Arial"/>
          <w:color w:val="FF0000"/>
          <w:sz w:val="20"/>
        </w:rPr>
      </w:pPr>
    </w:p>
    <w:p w14:paraId="131297D8" w14:textId="77777777" w:rsidR="00196E13" w:rsidRPr="00403E1A" w:rsidRDefault="00196E13" w:rsidP="00196E13">
      <w:pPr>
        <w:tabs>
          <w:tab w:val="left" w:pos="426"/>
        </w:tabs>
        <w:ind w:left="426"/>
        <w:rPr>
          <w:rFonts w:ascii="Arial" w:hAnsi="Arial" w:cs="Arial"/>
          <w:color w:val="FF0000"/>
          <w:sz w:val="20"/>
        </w:rPr>
      </w:pPr>
    </w:p>
    <w:p w14:paraId="4B57F45D" w14:textId="77777777" w:rsidR="00196E13" w:rsidRPr="00B651F1" w:rsidRDefault="00196E13" w:rsidP="00196E13">
      <w:pPr>
        <w:tabs>
          <w:tab w:val="left" w:pos="426"/>
        </w:tabs>
        <w:ind w:left="426"/>
        <w:rPr>
          <w:rFonts w:ascii="Arial" w:hAnsi="Arial" w:cs="Arial"/>
          <w:color w:val="000000" w:themeColor="text1"/>
          <w:sz w:val="20"/>
        </w:rPr>
      </w:pPr>
    </w:p>
    <w:p w14:paraId="084664C9" w14:textId="77777777" w:rsidR="00196E13" w:rsidRPr="00B651F1" w:rsidRDefault="00196E13" w:rsidP="00196E13">
      <w:pPr>
        <w:tabs>
          <w:tab w:val="left" w:pos="426"/>
        </w:tabs>
        <w:ind w:left="426"/>
        <w:rPr>
          <w:rFonts w:ascii="Arial" w:hAnsi="Arial" w:cs="Arial"/>
          <w:color w:val="000000" w:themeColor="text1"/>
          <w:sz w:val="20"/>
        </w:rPr>
      </w:pPr>
    </w:p>
    <w:p w14:paraId="26BE8677" w14:textId="77777777" w:rsidR="00B97711" w:rsidRDefault="00B97711" w:rsidP="00196E13">
      <w:pPr>
        <w:tabs>
          <w:tab w:val="left" w:pos="426"/>
        </w:tabs>
        <w:adjustRightInd w:val="0"/>
        <w:snapToGrid w:val="0"/>
        <w:ind w:left="426"/>
        <w:rPr>
          <w:rFonts w:ascii="Arial" w:hAnsi="Arial" w:cs="Arial"/>
          <w:color w:val="000000" w:themeColor="text1"/>
          <w:sz w:val="20"/>
        </w:rPr>
      </w:pPr>
    </w:p>
    <w:p w14:paraId="0D9DFC4A" w14:textId="77777777" w:rsidR="00B97711" w:rsidRDefault="00B97711" w:rsidP="00196E13">
      <w:pPr>
        <w:tabs>
          <w:tab w:val="left" w:pos="426"/>
        </w:tabs>
        <w:adjustRightInd w:val="0"/>
        <w:snapToGrid w:val="0"/>
        <w:ind w:left="426"/>
        <w:rPr>
          <w:rFonts w:ascii="Arial" w:hAnsi="Arial" w:cs="Arial"/>
          <w:color w:val="000000" w:themeColor="text1"/>
          <w:sz w:val="20"/>
        </w:rPr>
      </w:pPr>
    </w:p>
    <w:p w14:paraId="682027D7" w14:textId="763941CB" w:rsidR="00403E1A" w:rsidRPr="00B651F1" w:rsidRDefault="00403E1A" w:rsidP="00196E13">
      <w:pPr>
        <w:tabs>
          <w:tab w:val="left" w:pos="426"/>
        </w:tabs>
        <w:adjustRightInd w:val="0"/>
        <w:snapToGrid w:val="0"/>
        <w:ind w:left="426"/>
        <w:rPr>
          <w:rFonts w:ascii="Arial" w:hAnsi="Arial" w:cs="Arial"/>
          <w:color w:val="000000" w:themeColor="text1"/>
          <w:sz w:val="20"/>
        </w:rPr>
      </w:pPr>
      <w:r w:rsidRPr="00B651F1">
        <w:rPr>
          <w:rFonts w:ascii="Arial" w:hAnsi="Arial" w:cs="Arial"/>
          <w:color w:val="000000" w:themeColor="text1"/>
          <w:sz w:val="20"/>
        </w:rPr>
        <w:lastRenderedPageBreak/>
        <w:t>IL CONSUNTIVO 2020</w:t>
      </w:r>
    </w:p>
    <w:p w14:paraId="5AE567CC" w14:textId="20EA61C9" w:rsidR="00196E13" w:rsidRPr="00B651F1" w:rsidRDefault="00B651F1" w:rsidP="00B651F1">
      <w:pPr>
        <w:tabs>
          <w:tab w:val="left" w:pos="426"/>
        </w:tabs>
        <w:adjustRightInd w:val="0"/>
        <w:snapToGrid w:val="0"/>
        <w:ind w:left="426"/>
        <w:rPr>
          <w:rFonts w:ascii="Arial" w:hAnsi="Arial" w:cs="Arial"/>
          <w:color w:val="000000" w:themeColor="text1"/>
          <w:sz w:val="20"/>
        </w:rPr>
      </w:pPr>
      <w:r w:rsidRPr="00B651F1">
        <w:rPr>
          <w:rFonts w:ascii="Arial" w:hAnsi="Arial" w:cs="Arial"/>
          <w:color w:val="000000" w:themeColor="text1"/>
          <w:sz w:val="20"/>
        </w:rPr>
        <w:t xml:space="preserve">Il primo trimestre indica dunque una svolta precisa e positiva rispetto a un </w:t>
      </w:r>
      <w:r w:rsidR="00196E13" w:rsidRPr="00B651F1">
        <w:rPr>
          <w:rFonts w:ascii="Arial" w:hAnsi="Arial" w:cs="Arial"/>
          <w:b/>
          <w:bCs/>
          <w:color w:val="000000" w:themeColor="text1"/>
          <w:sz w:val="20"/>
        </w:rPr>
        <w:t>2020</w:t>
      </w:r>
      <w:r w:rsidR="00196E13" w:rsidRPr="00B651F1">
        <w:rPr>
          <w:rFonts w:ascii="Arial" w:hAnsi="Arial" w:cs="Arial"/>
          <w:color w:val="000000" w:themeColor="text1"/>
          <w:sz w:val="20"/>
        </w:rPr>
        <w:t xml:space="preserve"> </w:t>
      </w:r>
      <w:r w:rsidRPr="00B651F1">
        <w:rPr>
          <w:rFonts w:ascii="Arial" w:hAnsi="Arial" w:cs="Arial"/>
          <w:color w:val="000000" w:themeColor="text1"/>
          <w:sz w:val="20"/>
        </w:rPr>
        <w:t>che</w:t>
      </w:r>
      <w:r w:rsidR="00196E13" w:rsidRPr="00B651F1">
        <w:rPr>
          <w:rFonts w:ascii="Arial" w:hAnsi="Arial" w:cs="Arial"/>
          <w:color w:val="000000" w:themeColor="text1"/>
          <w:sz w:val="20"/>
        </w:rPr>
        <w:t xml:space="preserve"> verrà ricordato come uno dei periodi più difficili che il nostro settore abbia mai avuto modo di affrontare</w:t>
      </w:r>
      <w:r w:rsidR="00B97711">
        <w:rPr>
          <w:rFonts w:ascii="Arial" w:hAnsi="Arial" w:cs="Arial"/>
          <w:color w:val="000000" w:themeColor="text1"/>
          <w:sz w:val="20"/>
        </w:rPr>
        <w:t>.</w:t>
      </w:r>
    </w:p>
    <w:p w14:paraId="2DCBE8C8" w14:textId="77777777" w:rsidR="00196E13" w:rsidRPr="00B651F1" w:rsidRDefault="00196E13" w:rsidP="00196E13">
      <w:pPr>
        <w:tabs>
          <w:tab w:val="left" w:pos="426"/>
        </w:tabs>
        <w:adjustRightInd w:val="0"/>
        <w:snapToGrid w:val="0"/>
        <w:ind w:left="426"/>
        <w:rPr>
          <w:rFonts w:ascii="Arial" w:hAnsi="Arial" w:cs="Arial"/>
          <w:color w:val="000000" w:themeColor="text1"/>
          <w:sz w:val="20"/>
        </w:rPr>
      </w:pPr>
    </w:p>
    <w:p w14:paraId="6C552AA4" w14:textId="4E5A0D3D" w:rsidR="00196E13" w:rsidRPr="000D4C7B" w:rsidRDefault="001926EA" w:rsidP="001926EA">
      <w:pPr>
        <w:tabs>
          <w:tab w:val="left" w:pos="426"/>
        </w:tabs>
        <w:adjustRightInd w:val="0"/>
        <w:snapToGrid w:val="0"/>
        <w:ind w:left="426"/>
        <w:rPr>
          <w:rFonts w:ascii="Arial" w:hAnsi="Arial" w:cs="Arial"/>
          <w:color w:val="000000" w:themeColor="text1"/>
          <w:sz w:val="20"/>
        </w:rPr>
      </w:pPr>
      <w:r>
        <w:rPr>
          <w:rFonts w:ascii="Arial" w:hAnsi="Arial" w:cs="Arial"/>
          <w:color w:val="000000" w:themeColor="text1"/>
          <w:sz w:val="20"/>
        </w:rPr>
        <w:t>Secondo i dati a</w:t>
      </w:r>
      <w:r w:rsidRPr="00B651F1">
        <w:rPr>
          <w:rFonts w:ascii="Arial" w:hAnsi="Arial" w:cs="Arial"/>
          <w:color w:val="000000" w:themeColor="text1"/>
          <w:sz w:val="20"/>
        </w:rPr>
        <w:t xml:space="preserve"> consuntiv</w:t>
      </w:r>
      <w:r>
        <w:rPr>
          <w:rFonts w:ascii="Arial" w:hAnsi="Arial" w:cs="Arial"/>
          <w:color w:val="000000" w:themeColor="text1"/>
          <w:sz w:val="20"/>
        </w:rPr>
        <w:t>o</w:t>
      </w:r>
      <w:r w:rsidRPr="00B651F1">
        <w:rPr>
          <w:rFonts w:ascii="Arial" w:hAnsi="Arial" w:cs="Arial"/>
          <w:color w:val="000000" w:themeColor="text1"/>
          <w:sz w:val="20"/>
        </w:rPr>
        <w:t xml:space="preserve"> elaborati dall’Ufficio studi di </w:t>
      </w:r>
      <w:proofErr w:type="spellStart"/>
      <w:r w:rsidRPr="00B651F1">
        <w:rPr>
          <w:rFonts w:ascii="Arial" w:hAnsi="Arial" w:cs="Arial"/>
          <w:color w:val="000000" w:themeColor="text1"/>
          <w:sz w:val="20"/>
        </w:rPr>
        <w:t>Acimall</w:t>
      </w:r>
      <w:proofErr w:type="spellEnd"/>
      <w:r w:rsidRPr="00B651F1">
        <w:rPr>
          <w:rFonts w:ascii="Arial" w:hAnsi="Arial" w:cs="Arial"/>
          <w:color w:val="000000" w:themeColor="text1"/>
          <w:sz w:val="20"/>
        </w:rPr>
        <w:t xml:space="preserve"> </w:t>
      </w:r>
      <w:r w:rsidR="00196E13" w:rsidRPr="00B651F1">
        <w:rPr>
          <w:rFonts w:ascii="Arial" w:hAnsi="Arial" w:cs="Arial"/>
          <w:color w:val="000000" w:themeColor="text1"/>
          <w:sz w:val="20"/>
        </w:rPr>
        <w:t xml:space="preserve">la </w:t>
      </w:r>
      <w:r w:rsidR="00196E13" w:rsidRPr="00B651F1">
        <w:rPr>
          <w:rFonts w:ascii="Arial" w:hAnsi="Arial" w:cs="Arial"/>
          <w:b/>
          <w:bCs/>
          <w:color w:val="000000" w:themeColor="text1"/>
          <w:sz w:val="20"/>
        </w:rPr>
        <w:t>produzione</w:t>
      </w:r>
      <w:r>
        <w:rPr>
          <w:rFonts w:ascii="Arial" w:hAnsi="Arial" w:cs="Arial"/>
          <w:color w:val="000000" w:themeColor="text1"/>
          <w:sz w:val="20"/>
        </w:rPr>
        <w:t xml:space="preserve"> delle imprese italiane</w:t>
      </w:r>
      <w:r w:rsidR="00196E13" w:rsidRPr="00B651F1">
        <w:rPr>
          <w:rFonts w:ascii="Arial" w:hAnsi="Arial" w:cs="Arial"/>
          <w:color w:val="000000" w:themeColor="text1"/>
          <w:sz w:val="20"/>
        </w:rPr>
        <w:t xml:space="preserve"> </w:t>
      </w:r>
      <w:r>
        <w:rPr>
          <w:rFonts w:ascii="Arial" w:hAnsi="Arial" w:cs="Arial"/>
          <w:color w:val="000000" w:themeColor="text1"/>
          <w:sz w:val="20"/>
        </w:rPr>
        <w:t xml:space="preserve">nel 2020 </w:t>
      </w:r>
      <w:r w:rsidR="00196E13" w:rsidRPr="00B651F1">
        <w:rPr>
          <w:rFonts w:ascii="Arial" w:hAnsi="Arial" w:cs="Arial"/>
          <w:color w:val="000000" w:themeColor="text1"/>
          <w:sz w:val="20"/>
        </w:rPr>
        <w:t xml:space="preserve">si è fermata a 1.848 milioni di euro, ovvero ben il 18,4 per cento in meno rispetto al 2019. Una forte flessione che, com’era facilmente prevedibile, ha preso corpo nella prima parte dell’anno, quando </w:t>
      </w:r>
      <w:r w:rsidR="00196E13" w:rsidRPr="008F751C">
        <w:rPr>
          <w:rFonts w:ascii="Arial" w:hAnsi="Arial" w:cs="Arial"/>
          <w:color w:val="000000" w:themeColor="text1"/>
          <w:sz w:val="20"/>
        </w:rPr>
        <w:t>più fort</w:t>
      </w:r>
      <w:r w:rsidR="00B97711" w:rsidRPr="008F751C">
        <w:rPr>
          <w:rFonts w:ascii="Arial" w:hAnsi="Arial" w:cs="Arial"/>
          <w:color w:val="000000" w:themeColor="text1"/>
          <w:sz w:val="20"/>
        </w:rPr>
        <w:t>i</w:t>
      </w:r>
      <w:r w:rsidR="00196E13" w:rsidRPr="008F751C">
        <w:rPr>
          <w:rFonts w:ascii="Arial" w:hAnsi="Arial" w:cs="Arial"/>
          <w:color w:val="000000" w:themeColor="text1"/>
          <w:sz w:val="20"/>
        </w:rPr>
        <w:t xml:space="preserve"> e diretti</w:t>
      </w:r>
      <w:r w:rsidR="00196E13" w:rsidRPr="00B651F1">
        <w:rPr>
          <w:rFonts w:ascii="Arial" w:hAnsi="Arial" w:cs="Arial"/>
          <w:color w:val="000000" w:themeColor="text1"/>
          <w:sz w:val="20"/>
        </w:rPr>
        <w:t xml:space="preserve"> si sono fatti sentire i provvedimenti per contrastare la pandemia di “Covid-19”.</w:t>
      </w:r>
      <w:r>
        <w:rPr>
          <w:rFonts w:ascii="Arial" w:hAnsi="Arial" w:cs="Arial"/>
          <w:color w:val="000000" w:themeColor="text1"/>
          <w:sz w:val="20"/>
        </w:rPr>
        <w:t xml:space="preserve"> </w:t>
      </w:r>
      <w:r w:rsidR="00196E13" w:rsidRPr="00B651F1">
        <w:rPr>
          <w:rFonts w:ascii="Arial" w:hAnsi="Arial" w:cs="Arial"/>
          <w:color w:val="000000" w:themeColor="text1"/>
          <w:sz w:val="20"/>
        </w:rPr>
        <w:t>Dai mesi estivi si è poi registrato un andamento decisamente più positivo, specialmente nell’ultimo trimestre dell’anno; una svolta preziosa, che ha ridato fiducia e positività a tutto il settore, ma che non è stata sufficiente per recuperare il tempo, gli ordini e il fatturato perduto</w:t>
      </w:r>
      <w:r>
        <w:rPr>
          <w:rFonts w:ascii="Arial" w:hAnsi="Arial" w:cs="Arial"/>
          <w:color w:val="000000" w:themeColor="text1"/>
          <w:sz w:val="20"/>
        </w:rPr>
        <w:t>, per quanto abbia indubbiamente consentito d</w:t>
      </w:r>
      <w:r w:rsidR="00196E13" w:rsidRPr="00B651F1">
        <w:rPr>
          <w:rFonts w:ascii="Arial" w:hAnsi="Arial" w:cs="Arial"/>
          <w:color w:val="000000" w:themeColor="text1"/>
          <w:sz w:val="20"/>
        </w:rPr>
        <w:t xml:space="preserve">i chiudere il 2020 </w:t>
      </w:r>
      <w:r>
        <w:rPr>
          <w:rFonts w:ascii="Arial" w:hAnsi="Arial" w:cs="Arial"/>
          <w:color w:val="000000" w:themeColor="text1"/>
          <w:sz w:val="20"/>
        </w:rPr>
        <w:t>meglio di come si era ipotizzato nei</w:t>
      </w:r>
      <w:r w:rsidR="00196E13" w:rsidRPr="00B651F1">
        <w:rPr>
          <w:rFonts w:ascii="Arial" w:hAnsi="Arial" w:cs="Arial"/>
          <w:color w:val="000000" w:themeColor="text1"/>
          <w:sz w:val="20"/>
        </w:rPr>
        <w:t xml:space="preserve"> mesi più duri.</w:t>
      </w:r>
      <w:r w:rsidR="00196E13" w:rsidRPr="00B651F1">
        <w:rPr>
          <w:rFonts w:ascii="Arial" w:hAnsi="Arial" w:cs="Arial"/>
          <w:color w:val="000000" w:themeColor="text1"/>
          <w:sz w:val="20"/>
        </w:rPr>
        <w:br/>
      </w:r>
      <w:r w:rsidR="00196E13" w:rsidRPr="00B651F1">
        <w:rPr>
          <w:rFonts w:ascii="Arial" w:hAnsi="Arial" w:cs="Arial"/>
          <w:color w:val="000000" w:themeColor="text1"/>
          <w:sz w:val="20"/>
        </w:rPr>
        <w:br/>
        <w:t xml:space="preserve">Una situazione mondiale che ha fatto ovviamente sentire il proprio peso anche nelle nostre </w:t>
      </w:r>
      <w:r w:rsidR="00196E13" w:rsidRPr="00B651F1">
        <w:rPr>
          <w:rFonts w:ascii="Arial" w:hAnsi="Arial" w:cs="Arial"/>
          <w:b/>
          <w:bCs/>
          <w:color w:val="000000" w:themeColor="text1"/>
          <w:sz w:val="20"/>
        </w:rPr>
        <w:t>esportazioni</w:t>
      </w:r>
      <w:r w:rsidR="00196E13" w:rsidRPr="00B651F1">
        <w:rPr>
          <w:rFonts w:ascii="Arial" w:hAnsi="Arial" w:cs="Arial"/>
          <w:color w:val="000000" w:themeColor="text1"/>
          <w:sz w:val="20"/>
        </w:rPr>
        <w:t xml:space="preserve">, diminuite del 15,8 per cento rispetto al 2019 per un valore assoluto pari a 1.330 milioni di euro. Nonostante la flessione, le vendite all’estero rimangono comunque l’elemento trainante per tutto il comparto. In termini percentuali ancora </w:t>
      </w:r>
      <w:r w:rsidR="00196E13" w:rsidRPr="000D4C7B">
        <w:rPr>
          <w:rFonts w:ascii="Arial" w:hAnsi="Arial" w:cs="Arial"/>
          <w:color w:val="000000" w:themeColor="text1"/>
          <w:sz w:val="20"/>
        </w:rPr>
        <w:t xml:space="preserve">più significativa la contrazione delle </w:t>
      </w:r>
      <w:r w:rsidR="00196E13" w:rsidRPr="000D4C7B">
        <w:rPr>
          <w:rFonts w:ascii="Arial" w:hAnsi="Arial" w:cs="Arial"/>
          <w:b/>
          <w:bCs/>
          <w:color w:val="000000" w:themeColor="text1"/>
          <w:sz w:val="20"/>
        </w:rPr>
        <w:t>importazioni</w:t>
      </w:r>
      <w:r w:rsidR="00196E13" w:rsidRPr="000D4C7B">
        <w:rPr>
          <w:rFonts w:ascii="Arial" w:hAnsi="Arial" w:cs="Arial"/>
          <w:color w:val="000000" w:themeColor="text1"/>
          <w:sz w:val="20"/>
        </w:rPr>
        <w:t xml:space="preserve">, che </w:t>
      </w:r>
      <w:r w:rsidRPr="000D4C7B">
        <w:rPr>
          <w:rFonts w:ascii="Arial" w:hAnsi="Arial" w:cs="Arial"/>
          <w:color w:val="000000" w:themeColor="text1"/>
          <w:sz w:val="20"/>
        </w:rPr>
        <w:t xml:space="preserve">nel 2020 </w:t>
      </w:r>
      <w:r w:rsidR="00196E13" w:rsidRPr="000D4C7B">
        <w:rPr>
          <w:rFonts w:ascii="Arial" w:hAnsi="Arial" w:cs="Arial"/>
          <w:color w:val="000000" w:themeColor="text1"/>
          <w:sz w:val="20"/>
        </w:rPr>
        <w:t xml:space="preserve">sono diminuite del 28,2 per cento, attestandosi a 153 milioni di euro. Dati che sottolineano quanto, complessivamente, la </w:t>
      </w:r>
      <w:r w:rsidR="00196E13" w:rsidRPr="000D4C7B">
        <w:rPr>
          <w:rFonts w:ascii="Arial" w:hAnsi="Arial" w:cs="Arial"/>
          <w:b/>
          <w:bCs/>
          <w:color w:val="000000" w:themeColor="text1"/>
          <w:sz w:val="20"/>
        </w:rPr>
        <w:t>domanda interna</w:t>
      </w:r>
      <w:r w:rsidR="00196E13" w:rsidRPr="000D4C7B">
        <w:rPr>
          <w:rFonts w:ascii="Arial" w:hAnsi="Arial" w:cs="Arial"/>
          <w:color w:val="000000" w:themeColor="text1"/>
          <w:sz w:val="20"/>
        </w:rPr>
        <w:t xml:space="preserve"> </w:t>
      </w:r>
      <w:r w:rsidR="00B97711" w:rsidRPr="000D4C7B">
        <w:rPr>
          <w:rFonts w:ascii="Arial" w:hAnsi="Arial" w:cs="Arial"/>
          <w:color w:val="000000" w:themeColor="text1"/>
          <w:sz w:val="20"/>
        </w:rPr>
        <w:t>nel 2020 si sia dimostrata ancora depressa</w:t>
      </w:r>
      <w:r w:rsidR="00196E13" w:rsidRPr="000D4C7B">
        <w:rPr>
          <w:rFonts w:ascii="Arial" w:hAnsi="Arial" w:cs="Arial"/>
          <w:color w:val="000000" w:themeColor="text1"/>
          <w:sz w:val="20"/>
        </w:rPr>
        <w:t>, mentre la bilancia commerciale – ovvero il saldo fra esportazione ed importazione – si mantiene sempre su valori elevati (1.177 milioni di euro).</w:t>
      </w:r>
      <w:r w:rsidR="00196E13" w:rsidRPr="000D4C7B">
        <w:rPr>
          <w:rFonts w:ascii="Arial" w:hAnsi="Arial" w:cs="Arial"/>
          <w:noProof/>
          <w:color w:val="000000" w:themeColor="text1"/>
          <w:sz w:val="20"/>
        </w:rPr>
        <w:t xml:space="preserve"> </w:t>
      </w:r>
    </w:p>
    <w:p w14:paraId="1A51D69C" w14:textId="77777777" w:rsidR="00196E13" w:rsidRPr="00B651F1" w:rsidRDefault="00196E13" w:rsidP="00196E13">
      <w:pPr>
        <w:tabs>
          <w:tab w:val="left" w:pos="426"/>
        </w:tabs>
        <w:adjustRightInd w:val="0"/>
        <w:snapToGrid w:val="0"/>
        <w:ind w:left="426"/>
        <w:rPr>
          <w:rFonts w:ascii="Arial" w:hAnsi="Arial" w:cs="Arial"/>
          <w:noProof/>
          <w:color w:val="000000" w:themeColor="text1"/>
          <w:sz w:val="20"/>
        </w:rPr>
      </w:pPr>
    </w:p>
    <w:p w14:paraId="2DA18110" w14:textId="4CE6BBAE" w:rsidR="00196E13" w:rsidRDefault="00196E13" w:rsidP="00196E13">
      <w:pPr>
        <w:adjustRightInd w:val="0"/>
        <w:snapToGrid w:val="0"/>
        <w:rPr>
          <w:rFonts w:ascii="Arial" w:hAnsi="Arial" w:cs="Arial"/>
          <w:noProof/>
          <w:color w:val="000000" w:themeColor="text1"/>
          <w:sz w:val="20"/>
        </w:rPr>
      </w:pPr>
    </w:p>
    <w:p w14:paraId="4ABAE08C" w14:textId="7E4528A2" w:rsidR="001926EA" w:rsidRDefault="001926EA" w:rsidP="00196E13">
      <w:pPr>
        <w:adjustRightInd w:val="0"/>
        <w:snapToGrid w:val="0"/>
        <w:rPr>
          <w:rFonts w:ascii="Arial" w:hAnsi="Arial" w:cs="Arial"/>
          <w:noProof/>
          <w:color w:val="000000" w:themeColor="text1"/>
          <w:sz w:val="20"/>
        </w:rPr>
      </w:pPr>
    </w:p>
    <w:p w14:paraId="3E34BD85" w14:textId="77777777" w:rsidR="001926EA" w:rsidRPr="00B651F1" w:rsidRDefault="001926EA" w:rsidP="00196E13">
      <w:pPr>
        <w:adjustRightInd w:val="0"/>
        <w:snapToGrid w:val="0"/>
        <w:rPr>
          <w:rFonts w:ascii="Arial" w:hAnsi="Arial" w:cs="Arial"/>
          <w:noProof/>
          <w:color w:val="000000" w:themeColor="text1"/>
          <w:sz w:val="20"/>
        </w:rPr>
      </w:pPr>
    </w:p>
    <w:p w14:paraId="0F953410" w14:textId="77777777" w:rsidR="00196E13" w:rsidRPr="00B651F1" w:rsidRDefault="00196E13" w:rsidP="00C91D54">
      <w:pPr>
        <w:ind w:left="426"/>
        <w:rPr>
          <w:rFonts w:ascii="Arial" w:hAnsi="Arial" w:cs="Arial"/>
          <w:color w:val="000000" w:themeColor="text1"/>
          <w:sz w:val="20"/>
        </w:rPr>
      </w:pPr>
    </w:p>
    <w:p w14:paraId="2D3E3133" w14:textId="65C9B1E4" w:rsidR="00C91D54" w:rsidRPr="00196E13" w:rsidRDefault="00C91D54" w:rsidP="00286B70">
      <w:pPr>
        <w:rPr>
          <w:rFonts w:ascii="Arial" w:hAnsi="Arial" w:cs="Arial"/>
          <w:color w:val="000000" w:themeColor="text1"/>
          <w:sz w:val="20"/>
        </w:rPr>
      </w:pPr>
    </w:p>
    <w:p w14:paraId="05BA744A" w14:textId="77777777" w:rsidR="001670C8" w:rsidRPr="00196E13" w:rsidRDefault="001670C8" w:rsidP="00C91D54">
      <w:pPr>
        <w:ind w:left="426"/>
        <w:rPr>
          <w:rFonts w:ascii="Arial" w:hAnsi="Arial" w:cs="Arial"/>
          <w:color w:val="000000" w:themeColor="text1"/>
          <w:sz w:val="20"/>
        </w:rPr>
      </w:pPr>
    </w:p>
    <w:p w14:paraId="6BDCCF7E" w14:textId="77777777" w:rsidR="00840088" w:rsidRPr="00196E13" w:rsidRDefault="00840088" w:rsidP="00840088">
      <w:pPr>
        <w:tabs>
          <w:tab w:val="left" w:pos="2977"/>
          <w:tab w:val="left" w:pos="5670"/>
          <w:tab w:val="left" w:pos="6663"/>
        </w:tabs>
        <w:ind w:left="426"/>
        <w:jc w:val="both"/>
        <w:rPr>
          <w:rFonts w:ascii="Arial" w:hAnsi="Arial" w:cs="Arial"/>
          <w:i/>
          <w:color w:val="000000" w:themeColor="text1"/>
          <w:sz w:val="20"/>
        </w:rPr>
      </w:pPr>
      <w:r w:rsidRPr="00196E13">
        <w:rPr>
          <w:rFonts w:ascii="Arial" w:hAnsi="Arial" w:cs="Arial"/>
          <w:i/>
          <w:color w:val="000000" w:themeColor="text1"/>
          <w:sz w:val="20"/>
        </w:rPr>
        <w:t>Per ulteriori informazioni:</w:t>
      </w:r>
    </w:p>
    <w:p w14:paraId="1110F91B" w14:textId="77777777" w:rsidR="00840088" w:rsidRPr="00196E13" w:rsidRDefault="00840088" w:rsidP="00840088">
      <w:pPr>
        <w:tabs>
          <w:tab w:val="left" w:pos="567"/>
        </w:tabs>
        <w:ind w:left="426"/>
        <w:jc w:val="both"/>
        <w:outlineLvl w:val="0"/>
        <w:rPr>
          <w:rFonts w:ascii="Arial" w:hAnsi="Arial" w:cs="Arial"/>
          <w:b/>
          <w:color w:val="000000" w:themeColor="text1"/>
          <w:sz w:val="20"/>
        </w:rPr>
      </w:pPr>
      <w:r w:rsidRPr="00196E13">
        <w:rPr>
          <w:rFonts w:ascii="Arial" w:hAnsi="Arial" w:cs="Arial"/>
          <w:b/>
          <w:color w:val="000000" w:themeColor="text1"/>
          <w:sz w:val="20"/>
        </w:rPr>
        <w:t>Luca Rossetti</w:t>
      </w:r>
    </w:p>
    <w:p w14:paraId="5FE0D79C" w14:textId="081DADBD" w:rsidR="00DE3DFA" w:rsidRPr="00196E13" w:rsidRDefault="00840088" w:rsidP="00B33B48">
      <w:pPr>
        <w:tabs>
          <w:tab w:val="left" w:pos="560"/>
        </w:tabs>
        <w:ind w:left="426"/>
        <w:jc w:val="both"/>
        <w:outlineLvl w:val="0"/>
        <w:rPr>
          <w:rFonts w:ascii="Arial" w:hAnsi="Arial" w:cs="Arial"/>
          <w:color w:val="000000" w:themeColor="text1"/>
          <w:sz w:val="20"/>
        </w:rPr>
      </w:pPr>
      <w:r w:rsidRPr="00196E13">
        <w:rPr>
          <w:rFonts w:ascii="Arial" w:hAnsi="Arial" w:cs="Arial"/>
          <w:color w:val="000000" w:themeColor="text1"/>
          <w:sz w:val="20"/>
        </w:rPr>
        <w:t>+39 3</w:t>
      </w:r>
      <w:r w:rsidR="0068221D" w:rsidRPr="00196E13">
        <w:rPr>
          <w:rFonts w:ascii="Arial" w:hAnsi="Arial" w:cs="Arial"/>
          <w:color w:val="000000" w:themeColor="text1"/>
          <w:sz w:val="20"/>
        </w:rPr>
        <w:t>51</w:t>
      </w:r>
      <w:r w:rsidRPr="00196E13">
        <w:rPr>
          <w:rFonts w:ascii="Arial" w:hAnsi="Arial" w:cs="Arial"/>
          <w:color w:val="000000" w:themeColor="text1"/>
          <w:sz w:val="20"/>
        </w:rPr>
        <w:t xml:space="preserve"> </w:t>
      </w:r>
      <w:r w:rsidR="0068221D" w:rsidRPr="00196E13">
        <w:rPr>
          <w:rFonts w:ascii="Arial" w:hAnsi="Arial" w:cs="Arial"/>
          <w:color w:val="000000" w:themeColor="text1"/>
          <w:sz w:val="20"/>
        </w:rPr>
        <w:t>9098189</w:t>
      </w:r>
      <w:r w:rsidRPr="00196E13">
        <w:rPr>
          <w:rFonts w:ascii="Arial" w:hAnsi="Arial" w:cs="Arial"/>
          <w:color w:val="000000" w:themeColor="text1"/>
          <w:sz w:val="20"/>
        </w:rPr>
        <w:t xml:space="preserve"> - </w:t>
      </w:r>
      <w:hyperlink r:id="rId8" w:history="1">
        <w:r w:rsidRPr="00196E13">
          <w:rPr>
            <w:rStyle w:val="Collegamentoipertestuale"/>
            <w:rFonts w:ascii="Arial" w:hAnsi="Arial" w:cs="Arial"/>
            <w:color w:val="000000" w:themeColor="text1"/>
            <w:sz w:val="20"/>
          </w:rPr>
          <w:t>press@acimall.com</w:t>
        </w:r>
      </w:hyperlink>
    </w:p>
    <w:sectPr w:rsidR="00DE3DFA" w:rsidRPr="00196E13" w:rsidSect="00104F31">
      <w:headerReference w:type="default" r:id="rId9"/>
      <w:footerReference w:type="even" r:id="rId10"/>
      <w:footerReference w:type="default" r:id="rId11"/>
      <w:headerReference w:type="first" r:id="rId12"/>
      <w:footerReference w:type="first" r:id="rId13"/>
      <w:pgSz w:w="11906" w:h="16838" w:code="9"/>
      <w:pgMar w:top="1276" w:right="991" w:bottom="384"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A5BE" w14:textId="77777777" w:rsidR="00F15439" w:rsidRDefault="00F15439">
      <w:r>
        <w:separator/>
      </w:r>
    </w:p>
  </w:endnote>
  <w:endnote w:type="continuationSeparator" w:id="0">
    <w:p w14:paraId="6C643973" w14:textId="77777777" w:rsidR="00F15439" w:rsidRDefault="00F1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BF6" w14:textId="77777777" w:rsidR="001F0D52" w:rsidRDefault="001F0D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1F0D52" w:rsidRDefault="001F0D52">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5DE1" w14:textId="77777777" w:rsidR="001F0D52" w:rsidRDefault="001F0D52">
    <w:pPr>
      <w:pStyle w:val="Pidipagina"/>
      <w:framePr w:wrap="around" w:vAnchor="text" w:hAnchor="page" w:x="5488" w:y="524"/>
      <w:jc w:val="center"/>
      <w:rPr>
        <w:rStyle w:val="Numeropagina"/>
      </w:rPr>
    </w:pPr>
  </w:p>
  <w:p w14:paraId="6A2D504F" w14:textId="77777777" w:rsidR="001F0D52" w:rsidRDefault="001F0D52">
    <w:pPr>
      <w:pStyle w:val="Pidipagina"/>
      <w:ind w:right="360"/>
    </w:pPr>
    <w:r>
      <w:t xml:space="preserve">   </w:t>
    </w:r>
  </w:p>
  <w:p w14:paraId="676EE327" w14:textId="196C1161" w:rsidR="001F0D52" w:rsidRDefault="001F0D52">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1D6" w14:textId="77777777" w:rsidR="001F0D52" w:rsidRDefault="001F0D52">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69C4" w14:textId="77777777" w:rsidR="00F15439" w:rsidRDefault="00F15439">
      <w:r>
        <w:separator/>
      </w:r>
    </w:p>
  </w:footnote>
  <w:footnote w:type="continuationSeparator" w:id="0">
    <w:p w14:paraId="5F4B0A78" w14:textId="77777777" w:rsidR="00F15439" w:rsidRDefault="00F1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E48" w14:textId="6DC56FCB" w:rsidR="001F0D52" w:rsidRDefault="001F0D52">
    <w:pPr>
      <w:pStyle w:val="Intestazione"/>
      <w:ind w:left="360"/>
    </w:pPr>
  </w:p>
  <w:p w14:paraId="302658E1" w14:textId="77777777" w:rsidR="001F0D52" w:rsidRDefault="001F0D52">
    <w:pPr>
      <w:pStyle w:val="Intestazione"/>
      <w:ind w:left="360"/>
    </w:pPr>
  </w:p>
  <w:p w14:paraId="4A2C7678" w14:textId="77777777" w:rsidR="001F0D52" w:rsidRDefault="001F0D52">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4B7" w14:textId="39D9834C" w:rsidR="001F0D52" w:rsidRDefault="001F0D52">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539F"/>
    <w:rsid w:val="0001721B"/>
    <w:rsid w:val="00073332"/>
    <w:rsid w:val="00083BF6"/>
    <w:rsid w:val="00087FD9"/>
    <w:rsid w:val="00095C56"/>
    <w:rsid w:val="000B731F"/>
    <w:rsid w:val="000C05B7"/>
    <w:rsid w:val="000C2E18"/>
    <w:rsid w:val="000C4AD3"/>
    <w:rsid w:val="000C5C5F"/>
    <w:rsid w:val="000D4C7B"/>
    <w:rsid w:val="000E417A"/>
    <w:rsid w:val="000E4BEE"/>
    <w:rsid w:val="000E661F"/>
    <w:rsid w:val="000E7459"/>
    <w:rsid w:val="000F01F9"/>
    <w:rsid w:val="000F4C0F"/>
    <w:rsid w:val="00104F31"/>
    <w:rsid w:val="001258BE"/>
    <w:rsid w:val="00130D7E"/>
    <w:rsid w:val="00140D22"/>
    <w:rsid w:val="00142024"/>
    <w:rsid w:val="001670C8"/>
    <w:rsid w:val="001702AD"/>
    <w:rsid w:val="0017075B"/>
    <w:rsid w:val="00174464"/>
    <w:rsid w:val="0018053C"/>
    <w:rsid w:val="001812CA"/>
    <w:rsid w:val="00181DE3"/>
    <w:rsid w:val="001926EA"/>
    <w:rsid w:val="001956B8"/>
    <w:rsid w:val="00196E13"/>
    <w:rsid w:val="001A615F"/>
    <w:rsid w:val="001B28A8"/>
    <w:rsid w:val="001B415A"/>
    <w:rsid w:val="001B424B"/>
    <w:rsid w:val="001B57D7"/>
    <w:rsid w:val="001C421C"/>
    <w:rsid w:val="001D79A8"/>
    <w:rsid w:val="001E067F"/>
    <w:rsid w:val="001E6154"/>
    <w:rsid w:val="001F0D52"/>
    <w:rsid w:val="001F51B2"/>
    <w:rsid w:val="002042B0"/>
    <w:rsid w:val="00207FBA"/>
    <w:rsid w:val="00210CF8"/>
    <w:rsid w:val="002178A4"/>
    <w:rsid w:val="00224AB3"/>
    <w:rsid w:val="00232B02"/>
    <w:rsid w:val="002545BF"/>
    <w:rsid w:val="002632E5"/>
    <w:rsid w:val="002650C8"/>
    <w:rsid w:val="00272082"/>
    <w:rsid w:val="00277B4A"/>
    <w:rsid w:val="00286B70"/>
    <w:rsid w:val="00291DE3"/>
    <w:rsid w:val="00294EDD"/>
    <w:rsid w:val="002A753A"/>
    <w:rsid w:val="002F11D9"/>
    <w:rsid w:val="002F5769"/>
    <w:rsid w:val="00304533"/>
    <w:rsid w:val="00305B4C"/>
    <w:rsid w:val="00307139"/>
    <w:rsid w:val="00313979"/>
    <w:rsid w:val="00326C06"/>
    <w:rsid w:val="0034316E"/>
    <w:rsid w:val="00345D05"/>
    <w:rsid w:val="00365C65"/>
    <w:rsid w:val="00366693"/>
    <w:rsid w:val="00366E20"/>
    <w:rsid w:val="00381921"/>
    <w:rsid w:val="003838AD"/>
    <w:rsid w:val="003A73F0"/>
    <w:rsid w:val="003B059D"/>
    <w:rsid w:val="003B109F"/>
    <w:rsid w:val="003D3CCC"/>
    <w:rsid w:val="003F1E14"/>
    <w:rsid w:val="003F371B"/>
    <w:rsid w:val="0040219C"/>
    <w:rsid w:val="00403E1A"/>
    <w:rsid w:val="0040679A"/>
    <w:rsid w:val="00406AB7"/>
    <w:rsid w:val="00416C21"/>
    <w:rsid w:val="00434C7E"/>
    <w:rsid w:val="00440FDD"/>
    <w:rsid w:val="004525E1"/>
    <w:rsid w:val="004559D3"/>
    <w:rsid w:val="00463561"/>
    <w:rsid w:val="00471328"/>
    <w:rsid w:val="004720FA"/>
    <w:rsid w:val="004B203B"/>
    <w:rsid w:val="004B3B06"/>
    <w:rsid w:val="004E619F"/>
    <w:rsid w:val="004E64E2"/>
    <w:rsid w:val="004F1C0F"/>
    <w:rsid w:val="00524EB0"/>
    <w:rsid w:val="00532AB7"/>
    <w:rsid w:val="00536329"/>
    <w:rsid w:val="00544E4C"/>
    <w:rsid w:val="00553F39"/>
    <w:rsid w:val="00556E60"/>
    <w:rsid w:val="00566630"/>
    <w:rsid w:val="00566E4E"/>
    <w:rsid w:val="00571373"/>
    <w:rsid w:val="00583DA9"/>
    <w:rsid w:val="00585084"/>
    <w:rsid w:val="005A2C26"/>
    <w:rsid w:val="005B514B"/>
    <w:rsid w:val="005C3375"/>
    <w:rsid w:val="005C788E"/>
    <w:rsid w:val="005D4C94"/>
    <w:rsid w:val="005D6503"/>
    <w:rsid w:val="005D6F46"/>
    <w:rsid w:val="005D7B5B"/>
    <w:rsid w:val="005E5302"/>
    <w:rsid w:val="005F5DB2"/>
    <w:rsid w:val="0063567C"/>
    <w:rsid w:val="00654A2A"/>
    <w:rsid w:val="0066775B"/>
    <w:rsid w:val="00671AAE"/>
    <w:rsid w:val="0068221D"/>
    <w:rsid w:val="006826C3"/>
    <w:rsid w:val="00683168"/>
    <w:rsid w:val="0069229C"/>
    <w:rsid w:val="006A64E2"/>
    <w:rsid w:val="006B1101"/>
    <w:rsid w:val="006C02B5"/>
    <w:rsid w:val="00705D68"/>
    <w:rsid w:val="007122E6"/>
    <w:rsid w:val="00724BEA"/>
    <w:rsid w:val="00736007"/>
    <w:rsid w:val="007443A2"/>
    <w:rsid w:val="00760EDC"/>
    <w:rsid w:val="007611D0"/>
    <w:rsid w:val="00773075"/>
    <w:rsid w:val="00786BB1"/>
    <w:rsid w:val="007A6D51"/>
    <w:rsid w:val="007B2DBD"/>
    <w:rsid w:val="007B3109"/>
    <w:rsid w:val="007B4E57"/>
    <w:rsid w:val="007B72D5"/>
    <w:rsid w:val="007D28CA"/>
    <w:rsid w:val="007E06BB"/>
    <w:rsid w:val="007E5480"/>
    <w:rsid w:val="00800F6A"/>
    <w:rsid w:val="0080513A"/>
    <w:rsid w:val="00807D67"/>
    <w:rsid w:val="00840088"/>
    <w:rsid w:val="00840B4A"/>
    <w:rsid w:val="00865C7A"/>
    <w:rsid w:val="0087060B"/>
    <w:rsid w:val="00884467"/>
    <w:rsid w:val="008850FB"/>
    <w:rsid w:val="00891675"/>
    <w:rsid w:val="008A5509"/>
    <w:rsid w:val="008C261D"/>
    <w:rsid w:val="008C32CC"/>
    <w:rsid w:val="008C3ACA"/>
    <w:rsid w:val="008E444A"/>
    <w:rsid w:val="008E5DBF"/>
    <w:rsid w:val="008E606A"/>
    <w:rsid w:val="008F01AF"/>
    <w:rsid w:val="008F4FEF"/>
    <w:rsid w:val="008F751C"/>
    <w:rsid w:val="00901E8C"/>
    <w:rsid w:val="009024DF"/>
    <w:rsid w:val="00904BBD"/>
    <w:rsid w:val="00905D70"/>
    <w:rsid w:val="00917407"/>
    <w:rsid w:val="009201D1"/>
    <w:rsid w:val="00927BEF"/>
    <w:rsid w:val="00932B59"/>
    <w:rsid w:val="00932BC6"/>
    <w:rsid w:val="00941E08"/>
    <w:rsid w:val="00946C6A"/>
    <w:rsid w:val="00947D81"/>
    <w:rsid w:val="00960785"/>
    <w:rsid w:val="00964F48"/>
    <w:rsid w:val="009703DB"/>
    <w:rsid w:val="00972D3C"/>
    <w:rsid w:val="00975B1A"/>
    <w:rsid w:val="0097719C"/>
    <w:rsid w:val="00985C7E"/>
    <w:rsid w:val="00990459"/>
    <w:rsid w:val="00991CBC"/>
    <w:rsid w:val="00993D0D"/>
    <w:rsid w:val="009B6D9C"/>
    <w:rsid w:val="009C5B81"/>
    <w:rsid w:val="009C6F87"/>
    <w:rsid w:val="009D025A"/>
    <w:rsid w:val="009E5E5C"/>
    <w:rsid w:val="00A018A0"/>
    <w:rsid w:val="00A029E7"/>
    <w:rsid w:val="00A108DB"/>
    <w:rsid w:val="00A24050"/>
    <w:rsid w:val="00A24489"/>
    <w:rsid w:val="00A2581D"/>
    <w:rsid w:val="00A60694"/>
    <w:rsid w:val="00A76779"/>
    <w:rsid w:val="00A86E2C"/>
    <w:rsid w:val="00AB2156"/>
    <w:rsid w:val="00AB77FB"/>
    <w:rsid w:val="00AE1B9E"/>
    <w:rsid w:val="00AE51EF"/>
    <w:rsid w:val="00B024BA"/>
    <w:rsid w:val="00B0713B"/>
    <w:rsid w:val="00B329E2"/>
    <w:rsid w:val="00B33B48"/>
    <w:rsid w:val="00B33F4A"/>
    <w:rsid w:val="00B47656"/>
    <w:rsid w:val="00B50A3F"/>
    <w:rsid w:val="00B651F1"/>
    <w:rsid w:val="00B657A0"/>
    <w:rsid w:val="00B65A3E"/>
    <w:rsid w:val="00B72A34"/>
    <w:rsid w:val="00B7327C"/>
    <w:rsid w:val="00B77080"/>
    <w:rsid w:val="00B9584F"/>
    <w:rsid w:val="00B97711"/>
    <w:rsid w:val="00BC3417"/>
    <w:rsid w:val="00BC547E"/>
    <w:rsid w:val="00BD40BD"/>
    <w:rsid w:val="00BD4D44"/>
    <w:rsid w:val="00BD4E9A"/>
    <w:rsid w:val="00BF2118"/>
    <w:rsid w:val="00BF35BC"/>
    <w:rsid w:val="00C04852"/>
    <w:rsid w:val="00C07008"/>
    <w:rsid w:val="00C10DE6"/>
    <w:rsid w:val="00C12950"/>
    <w:rsid w:val="00C17DC8"/>
    <w:rsid w:val="00C32150"/>
    <w:rsid w:val="00C41993"/>
    <w:rsid w:val="00C435AF"/>
    <w:rsid w:val="00C441DA"/>
    <w:rsid w:val="00C44464"/>
    <w:rsid w:val="00C54EF3"/>
    <w:rsid w:val="00C55169"/>
    <w:rsid w:val="00C60722"/>
    <w:rsid w:val="00C639FC"/>
    <w:rsid w:val="00C91D54"/>
    <w:rsid w:val="00C96A6C"/>
    <w:rsid w:val="00CB70B1"/>
    <w:rsid w:val="00CE4D8E"/>
    <w:rsid w:val="00CE6324"/>
    <w:rsid w:val="00CE7C6D"/>
    <w:rsid w:val="00D04850"/>
    <w:rsid w:val="00D0677A"/>
    <w:rsid w:val="00D10A5D"/>
    <w:rsid w:val="00D16C13"/>
    <w:rsid w:val="00D32BC8"/>
    <w:rsid w:val="00D47E18"/>
    <w:rsid w:val="00D7134F"/>
    <w:rsid w:val="00D91B3F"/>
    <w:rsid w:val="00DB7438"/>
    <w:rsid w:val="00DC53CF"/>
    <w:rsid w:val="00DD038E"/>
    <w:rsid w:val="00DE3BC7"/>
    <w:rsid w:val="00DE3DFA"/>
    <w:rsid w:val="00E04E31"/>
    <w:rsid w:val="00E07556"/>
    <w:rsid w:val="00E2671D"/>
    <w:rsid w:val="00E26F68"/>
    <w:rsid w:val="00E6024D"/>
    <w:rsid w:val="00E60591"/>
    <w:rsid w:val="00E65415"/>
    <w:rsid w:val="00E655B9"/>
    <w:rsid w:val="00E66C6E"/>
    <w:rsid w:val="00ED118D"/>
    <w:rsid w:val="00EF3187"/>
    <w:rsid w:val="00F00863"/>
    <w:rsid w:val="00F01932"/>
    <w:rsid w:val="00F15439"/>
    <w:rsid w:val="00F15D95"/>
    <w:rsid w:val="00F259BE"/>
    <w:rsid w:val="00F30178"/>
    <w:rsid w:val="00F3539D"/>
    <w:rsid w:val="00F379D8"/>
    <w:rsid w:val="00F64584"/>
    <w:rsid w:val="00F76DF4"/>
    <w:rsid w:val="00F828EA"/>
    <w:rsid w:val="00FB5D0B"/>
    <w:rsid w:val="00FD043C"/>
    <w:rsid w:val="00FF2E86"/>
    <w:rsid w:val="00FF331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stroke="f">
      <v:fill color="white"/>
      <v:stroke on="f"/>
    </o:shapedefaults>
    <o:shapelayout v:ext="edit">
      <o:idmap v:ext="edit" data="1"/>
    </o:shapelayout>
  </w:shapeDefaults>
  <w:doNotEmbedSmartTags/>
  <w:decimalSymbol w:val=","/>
  <w:listSeparator w:val=";"/>
  <w14:docId w14:val="62284E42"/>
  <w15:docId w15:val="{D22DD16A-EB92-43B4-9D68-4A3FE2FD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0232">
      <w:bodyDiv w:val="1"/>
      <w:marLeft w:val="0"/>
      <w:marRight w:val="0"/>
      <w:marTop w:val="0"/>
      <w:marBottom w:val="0"/>
      <w:divBdr>
        <w:top w:val="none" w:sz="0" w:space="0" w:color="auto"/>
        <w:left w:val="none" w:sz="0" w:space="0" w:color="auto"/>
        <w:bottom w:val="none" w:sz="0" w:space="0" w:color="auto"/>
        <w:right w:val="none" w:sz="0" w:space="0" w:color="auto"/>
      </w:divBdr>
      <w:divsChild>
        <w:div w:id="1206790062">
          <w:marLeft w:val="0"/>
          <w:marRight w:val="0"/>
          <w:marTop w:val="0"/>
          <w:marBottom w:val="0"/>
          <w:divBdr>
            <w:top w:val="none" w:sz="0" w:space="0" w:color="auto"/>
            <w:left w:val="none" w:sz="0" w:space="0" w:color="auto"/>
            <w:bottom w:val="none" w:sz="0" w:space="0" w:color="auto"/>
            <w:right w:val="none" w:sz="0" w:space="0" w:color="auto"/>
          </w:divBdr>
          <w:divsChild>
            <w:div w:id="1094516991">
              <w:marLeft w:val="0"/>
              <w:marRight w:val="0"/>
              <w:marTop w:val="0"/>
              <w:marBottom w:val="0"/>
              <w:divBdr>
                <w:top w:val="none" w:sz="0" w:space="0" w:color="auto"/>
                <w:left w:val="none" w:sz="0" w:space="0" w:color="auto"/>
                <w:bottom w:val="none" w:sz="0" w:space="0" w:color="auto"/>
                <w:right w:val="none" w:sz="0" w:space="0" w:color="auto"/>
              </w:divBdr>
              <w:divsChild>
                <w:div w:id="3162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1</TotalTime>
  <Pages>2</Pages>
  <Words>779</Words>
  <Characters>4443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5212</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2021-05-05T07:14:00Z</cp:lastPrinted>
  <dcterms:created xsi:type="dcterms:W3CDTF">2021-05-10T08:20:00Z</dcterms:created>
  <dcterms:modified xsi:type="dcterms:W3CDTF">2021-05-10T08:20:00Z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