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xml" ContentType="application/xml"/>
  <Default Extension="png" ContentType="image/pn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2E4" w:rsidRDefault="00533E5F" w:rsidP="005740E3">
      <w:pPr>
        <w:ind w:left="-567"/>
        <w:rPr>
          <w:rFonts w:ascii="Arial" w:hAnsi="Arial"/>
        </w:rPr>
      </w:pPr>
      <w:r w:rsidRPr="00533E5F">
        <w:rPr>
          <w:rFonts w:ascii="Arial" w:hAnsi="Arial"/>
          <w:noProof/>
        </w:rPr>
        <w:drawing>
          <wp:inline distT="0" distB="0" distL="0" distR="0">
            <wp:extent cx="3243013" cy="1291590"/>
            <wp:effectExtent l="0" t="0" r="0" b="0"/>
            <wp:docPr id="4" name="Immagine 1" descr=":INTESTAZIONE XIPC new.ps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INTESTAZIONE XIPC new.psd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512" cy="1292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40E3" w:rsidRDefault="005740E3" w:rsidP="00703C97">
      <w:pPr>
        <w:rPr>
          <w:rFonts w:ascii="Arial" w:hAnsi="Arial"/>
        </w:rPr>
      </w:pPr>
    </w:p>
    <w:p w:rsidR="00C9366B" w:rsidRDefault="00C9366B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</w:p>
    <w:p w:rsidR="00F92B8A" w:rsidRPr="00F92B8A" w:rsidRDefault="009D7B1D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5740E3">
        <w:rPr>
          <w:rFonts w:ascii="Arial" w:hAnsi="Arial" w:cs="Arial"/>
          <w:b/>
          <w:sz w:val="22"/>
          <w:szCs w:val="22"/>
        </w:rPr>
        <w:tab/>
      </w:r>
    </w:p>
    <w:p w:rsidR="00F92B8A" w:rsidRP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F92B8A">
        <w:rPr>
          <w:rFonts w:ascii="Arial" w:hAnsi="Arial"/>
          <w:color w:val="000000" w:themeColor="text1"/>
          <w:sz w:val="32"/>
          <w:szCs w:val="26"/>
        </w:rPr>
        <w:t>12.02.2016</w:t>
      </w:r>
      <w:r w:rsidR="00A747DB">
        <w:rPr>
          <w:rFonts w:ascii="Arial" w:hAnsi="Arial"/>
          <w:color w:val="000000" w:themeColor="text1"/>
          <w:sz w:val="32"/>
          <w:szCs w:val="26"/>
        </w:rPr>
        <w:t xml:space="preserve"> </w:t>
      </w: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C9366B" w:rsidRDefault="00C9366B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D8481F" w:rsidRDefault="001C5B8A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05</w:t>
      </w:r>
      <w:r w:rsidR="00D8481F">
        <w:rPr>
          <w:rFonts w:ascii="Arial" w:hAnsi="Arial"/>
          <w:sz w:val="32"/>
          <w:szCs w:val="26"/>
        </w:rPr>
        <w:t>.</w:t>
      </w:r>
      <w:r w:rsidR="00D8481F">
        <w:rPr>
          <w:rFonts w:ascii="Arial" w:hAnsi="Arial"/>
          <w:sz w:val="32"/>
          <w:szCs w:val="26"/>
        </w:rPr>
        <w:tab/>
        <w:t xml:space="preserve">SPEECH </w:t>
      </w:r>
      <w:r w:rsidR="00000739">
        <w:rPr>
          <w:rFonts w:ascii="Arial" w:hAnsi="Arial"/>
          <w:sz w:val="32"/>
          <w:szCs w:val="26"/>
        </w:rPr>
        <w:t>DARIO CORBETTA</w:t>
      </w:r>
    </w:p>
    <w:p w:rsidR="00D8481F" w:rsidRPr="00901048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32"/>
          <w:szCs w:val="26"/>
        </w:rPr>
      </w:pPr>
      <w:r w:rsidRPr="00901048">
        <w:rPr>
          <w:rFonts w:ascii="Arial" w:hAnsi="Arial"/>
          <w:i/>
          <w:sz w:val="32"/>
          <w:szCs w:val="26"/>
        </w:rPr>
        <w:tab/>
      </w:r>
      <w:r w:rsidR="00000739" w:rsidRPr="00901048">
        <w:rPr>
          <w:rFonts w:ascii="Arial" w:hAnsi="Arial"/>
          <w:i/>
          <w:sz w:val="32"/>
          <w:szCs w:val="26"/>
        </w:rPr>
        <w:t>direttore</w:t>
      </w:r>
      <w:r w:rsidRPr="00901048">
        <w:rPr>
          <w:rFonts w:ascii="Arial" w:hAnsi="Arial"/>
          <w:i/>
          <w:sz w:val="32"/>
          <w:szCs w:val="26"/>
        </w:rPr>
        <w:t xml:space="preserve"> Acimall</w:t>
      </w:r>
    </w:p>
    <w:p w:rsidR="00706DBD" w:rsidRDefault="00901048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ab/>
        <w:t>“</w:t>
      </w:r>
      <w:r w:rsidR="00706DBD">
        <w:rPr>
          <w:rFonts w:ascii="Arial" w:hAnsi="Arial"/>
          <w:sz w:val="32"/>
          <w:szCs w:val="26"/>
        </w:rPr>
        <w:t xml:space="preserve">L’industria italiana ed europea delle tecnologie </w:t>
      </w:r>
    </w:p>
    <w:p w:rsidR="00901048" w:rsidRPr="00B71125" w:rsidRDefault="00706DBD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ab/>
        <w:t>per l’industria del mobile e la lavorazione del legno</w:t>
      </w:r>
      <w:r w:rsidR="00901048">
        <w:rPr>
          <w:rFonts w:ascii="Arial" w:hAnsi="Arial"/>
          <w:sz w:val="32"/>
          <w:szCs w:val="26"/>
        </w:rPr>
        <w:t>”</w:t>
      </w: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D8481F" w:rsidRDefault="00D8481F" w:rsidP="00703C9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E74834" w:rsidRDefault="00703C9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Buongiorno a tutti e grazie di essere qui.</w:t>
      </w:r>
    </w:p>
    <w:p w:rsidR="00703C97" w:rsidRDefault="00703C9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Permette</w:t>
      </w:r>
      <w:r w:rsidR="0061170F">
        <w:rPr>
          <w:rFonts w:ascii="Arial" w:hAnsi="Arial" w:cs="Arial"/>
          <w:sz w:val="20"/>
        </w:rPr>
        <w:t>te</w:t>
      </w:r>
      <w:r>
        <w:rPr>
          <w:rFonts w:ascii="Arial" w:hAnsi="Arial" w:cs="Arial"/>
          <w:sz w:val="20"/>
        </w:rPr>
        <w:t xml:space="preserve">mi di unirmi ai </w:t>
      </w:r>
      <w:bookmarkStart w:id="0" w:name="_GoBack"/>
      <w:r w:rsidRPr="005603E1">
        <w:rPr>
          <w:rFonts w:ascii="Arial" w:hAnsi="Arial" w:cs="Arial"/>
          <w:b/>
          <w:sz w:val="20"/>
        </w:rPr>
        <w:t>ringraziamenti</w:t>
      </w:r>
      <w:r>
        <w:rPr>
          <w:rFonts w:ascii="Arial" w:hAnsi="Arial" w:cs="Arial"/>
          <w:sz w:val="20"/>
        </w:rPr>
        <w:t xml:space="preserve"> </w:t>
      </w:r>
      <w:bookmarkEnd w:id="0"/>
      <w:r>
        <w:rPr>
          <w:rFonts w:ascii="Arial" w:hAnsi="Arial" w:cs="Arial"/>
          <w:sz w:val="20"/>
        </w:rPr>
        <w:t>del nostro presidente Primultini per tutti coloro che hanno deciso di essere con noi oggi. Grazie a voi giornalisti</w:t>
      </w:r>
      <w:r w:rsidR="001F7D25">
        <w:rPr>
          <w:rFonts w:ascii="Arial" w:hAnsi="Arial" w:cs="Arial"/>
          <w:sz w:val="20"/>
        </w:rPr>
        <w:t xml:space="preserve"> che avete accettato il nostro invito</w:t>
      </w:r>
      <w:r>
        <w:rPr>
          <w:rFonts w:ascii="Arial" w:hAnsi="Arial" w:cs="Arial"/>
          <w:sz w:val="20"/>
        </w:rPr>
        <w:t>; grazie alle personalità che oggi testimoniano i valori che Xylexpo, edizione dopo edizione, mette in campo</w:t>
      </w:r>
      <w:r w:rsidR="00D974DE">
        <w:rPr>
          <w:rFonts w:ascii="Arial" w:hAnsi="Arial" w:cs="Arial"/>
          <w:sz w:val="20"/>
        </w:rPr>
        <w:t xml:space="preserve"> da cinquant’anni</w:t>
      </w:r>
      <w:r>
        <w:rPr>
          <w:rFonts w:ascii="Arial" w:hAnsi="Arial" w:cs="Arial"/>
          <w:sz w:val="20"/>
        </w:rPr>
        <w:t>; grazie ai nostri sponsor</w:t>
      </w:r>
      <w:r w:rsidR="00D974DE">
        <w:rPr>
          <w:rFonts w:ascii="Arial" w:hAnsi="Arial" w:cs="Arial"/>
          <w:sz w:val="20"/>
        </w:rPr>
        <w:t>,</w:t>
      </w:r>
      <w:r>
        <w:rPr>
          <w:rFonts w:ascii="Arial" w:hAnsi="Arial" w:cs="Arial"/>
          <w:sz w:val="20"/>
        </w:rPr>
        <w:t xml:space="preserve"> che vedete nei desk </w:t>
      </w:r>
      <w:r w:rsidR="00706DBD">
        <w:rPr>
          <w:rFonts w:ascii="Arial" w:hAnsi="Arial" w:cs="Arial"/>
          <w:sz w:val="20"/>
        </w:rPr>
        <w:t>qui di fianco, i “top exhibitors” della prossima edizione della nostra biennale che hanno voluto cogliere questa occasione per incontrarvi</w:t>
      </w:r>
      <w:r w:rsidR="001F7D25">
        <w:rPr>
          <w:rFonts w:ascii="Arial" w:hAnsi="Arial" w:cs="Arial"/>
          <w:sz w:val="20"/>
        </w:rPr>
        <w:t>, per anticiparvi cosa proporranno a maggio.</w:t>
      </w:r>
    </w:p>
    <w:p w:rsidR="001F7D25" w:rsidRDefault="001F7D25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:rsidR="001F7D25" w:rsidRDefault="001F7D25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Ma vengo subito al tema del mio intervento, offrendovi una serie di dati e di informazioni che </w:t>
      </w:r>
      <w:r w:rsidR="00D6104F">
        <w:rPr>
          <w:rFonts w:ascii="Arial" w:hAnsi="Arial" w:cs="Arial"/>
          <w:sz w:val="20"/>
        </w:rPr>
        <w:t>mi auguro possano aiutarvi</w:t>
      </w:r>
      <w:r>
        <w:rPr>
          <w:rFonts w:ascii="Arial" w:hAnsi="Arial" w:cs="Arial"/>
          <w:sz w:val="20"/>
        </w:rPr>
        <w:t xml:space="preserve"> non solo a collocare Xylexpo nel contesto dell’industria italiana</w:t>
      </w:r>
      <w:r w:rsidR="00D6104F">
        <w:rPr>
          <w:rFonts w:ascii="Arial" w:hAnsi="Arial" w:cs="Arial"/>
          <w:sz w:val="20"/>
        </w:rPr>
        <w:t>,</w:t>
      </w:r>
      <w:r>
        <w:rPr>
          <w:rFonts w:ascii="Arial" w:hAnsi="Arial" w:cs="Arial"/>
          <w:sz w:val="20"/>
        </w:rPr>
        <w:t xml:space="preserve"> da sempre un punto di riferimento assoluto a livello mondiale, ma anche a cogliere alcuni segnali che si possono leggere nei flussi internazionali di settore.</w:t>
      </w:r>
    </w:p>
    <w:p w:rsidR="00D6104F" w:rsidRDefault="00D6104F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:rsidR="00D6104F" w:rsidRPr="008F4759" w:rsidRDefault="00D6104F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0"/>
        </w:rPr>
      </w:pPr>
      <w:r w:rsidRPr="008F4759">
        <w:rPr>
          <w:rFonts w:ascii="Arial" w:hAnsi="Arial" w:cs="Arial"/>
          <w:b/>
          <w:sz w:val="20"/>
        </w:rPr>
        <w:t>L’INDUSTRIA ITALIANA DELLE TECNOLOGIE PER IL LEGNO</w:t>
      </w:r>
    </w:p>
    <w:p w:rsidR="00D6104F" w:rsidRDefault="00D6104F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 come si è trasformata, da un punto di vista numerico, la nostra industria di riferimento dopo questo lungo periodo di crisi e di trasformazione? Come potete vedere nella slide che vi proponiamo la “struttura” è ancora significativa, per quanto sia indubbia la contr</w:t>
      </w:r>
      <w:r w:rsidR="00D974DE">
        <w:rPr>
          <w:rFonts w:ascii="Arial" w:hAnsi="Arial" w:cs="Arial"/>
          <w:sz w:val="20"/>
        </w:rPr>
        <w:t>azione rispetto al passato. I</w:t>
      </w:r>
      <w:r>
        <w:rPr>
          <w:rFonts w:ascii="Arial" w:hAnsi="Arial" w:cs="Arial"/>
          <w:sz w:val="20"/>
        </w:rPr>
        <w:t xml:space="preserve">l messaggio è </w:t>
      </w:r>
      <w:r w:rsidR="00D974DE">
        <w:rPr>
          <w:rFonts w:ascii="Arial" w:hAnsi="Arial" w:cs="Arial"/>
          <w:sz w:val="20"/>
        </w:rPr>
        <w:t xml:space="preserve">comunque </w:t>
      </w:r>
      <w:r>
        <w:rPr>
          <w:rFonts w:ascii="Arial" w:hAnsi="Arial" w:cs="Arial"/>
          <w:sz w:val="20"/>
        </w:rPr>
        <w:t xml:space="preserve">chiaro: </w:t>
      </w:r>
      <w:r w:rsidRPr="00D974DE">
        <w:rPr>
          <w:rFonts w:ascii="Arial" w:hAnsi="Arial" w:cs="Arial"/>
          <w:b/>
          <w:sz w:val="20"/>
        </w:rPr>
        <w:t xml:space="preserve">le industrie italiane sono ancora forti, attive, propositive, capaci di attrarre l’attenzione </w:t>
      </w:r>
      <w:r w:rsidR="008F4759" w:rsidRPr="00D974DE">
        <w:rPr>
          <w:rFonts w:ascii="Arial" w:hAnsi="Arial" w:cs="Arial"/>
          <w:b/>
          <w:sz w:val="20"/>
        </w:rPr>
        <w:t>di clienti di ogni dimensione e per qualsiasi tipo di prodotto in tutto il mondo</w:t>
      </w:r>
      <w:r w:rsidR="008F4759">
        <w:rPr>
          <w:rFonts w:ascii="Arial" w:hAnsi="Arial" w:cs="Arial"/>
          <w:sz w:val="20"/>
        </w:rPr>
        <w:t>.</w:t>
      </w:r>
    </w:p>
    <w:p w:rsidR="008F4759" w:rsidRDefault="008F4759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250 imprese, di cui 174 associate ad Acimall. Novemila addetti, poco meno di 1,8 miliardi di euro di fatturato, di cui il 75 per cento destinato all’esportazione; una quota della produzione mondiale del 18 per cento. Numeri importanti che caratterizzano </w:t>
      </w:r>
      <w:r w:rsidRPr="00D974DE">
        <w:rPr>
          <w:rFonts w:ascii="Arial" w:hAnsi="Arial" w:cs="Arial"/>
          <w:b/>
          <w:sz w:val="20"/>
        </w:rPr>
        <w:t>un tessuto industriale vitale</w:t>
      </w:r>
      <w:r>
        <w:rPr>
          <w:rFonts w:ascii="Arial" w:hAnsi="Arial" w:cs="Arial"/>
          <w:sz w:val="20"/>
        </w:rPr>
        <w:t>.</w:t>
      </w:r>
    </w:p>
    <w:p w:rsidR="00706DBD" w:rsidRDefault="00706DBD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:rsidR="00703C97" w:rsidRPr="00D76D43" w:rsidRDefault="008F4759" w:rsidP="00703C97">
      <w:pPr>
        <w:jc w:val="both"/>
        <w:rPr>
          <w:rFonts w:ascii="Arial" w:hAnsi="Arial"/>
          <w:b/>
          <w:color w:val="000000"/>
          <w:sz w:val="20"/>
        </w:rPr>
      </w:pPr>
      <w:r>
        <w:rPr>
          <w:rFonts w:ascii="Arial" w:hAnsi="Arial"/>
          <w:b/>
          <w:color w:val="000000"/>
          <w:sz w:val="20"/>
        </w:rPr>
        <w:t>IL PRECONSUNTIVO</w:t>
      </w:r>
      <w:r w:rsidR="00703C97" w:rsidRPr="00D76D43">
        <w:rPr>
          <w:rFonts w:ascii="Arial" w:hAnsi="Arial"/>
          <w:b/>
          <w:color w:val="000000"/>
          <w:sz w:val="20"/>
        </w:rPr>
        <w:t xml:space="preserve"> 2015</w:t>
      </w:r>
    </w:p>
    <w:p w:rsidR="00703C97" w:rsidRDefault="008F4759" w:rsidP="00703C97">
      <w:pPr>
        <w:jc w:val="both"/>
        <w:rPr>
          <w:rFonts w:ascii="Arial" w:hAnsi="Arial"/>
          <w:color w:val="000000"/>
          <w:sz w:val="20"/>
        </w:rPr>
      </w:pPr>
      <w:r>
        <w:rPr>
          <w:rFonts w:ascii="Arial" w:hAnsi="Arial"/>
          <w:color w:val="000000"/>
          <w:sz w:val="20"/>
        </w:rPr>
        <w:t>Mi pare opportuno commentare ancora una volta i dati che abbiamo recentemente diffuso a proposito dell’</w:t>
      </w:r>
      <w:r w:rsidRPr="00D974DE">
        <w:rPr>
          <w:rFonts w:ascii="Arial" w:hAnsi="Arial"/>
          <w:b/>
          <w:color w:val="000000"/>
          <w:sz w:val="20"/>
        </w:rPr>
        <w:t>andamento del 2015</w:t>
      </w:r>
      <w:r>
        <w:rPr>
          <w:rFonts w:ascii="Arial" w:hAnsi="Arial"/>
          <w:color w:val="000000"/>
          <w:sz w:val="20"/>
        </w:rPr>
        <w:t>. Le cifre di questa slide riassumono dodici mesi di</w:t>
      </w:r>
      <w:r w:rsidR="00703C97">
        <w:rPr>
          <w:rFonts w:ascii="Arial" w:hAnsi="Arial"/>
          <w:color w:val="000000"/>
          <w:sz w:val="20"/>
        </w:rPr>
        <w:t xml:space="preserve"> una </w:t>
      </w:r>
      <w:r w:rsidR="00703C97" w:rsidRPr="00D974DE">
        <w:rPr>
          <w:rFonts w:ascii="Arial" w:hAnsi="Arial"/>
          <w:b/>
          <w:color w:val="000000"/>
          <w:sz w:val="20"/>
        </w:rPr>
        <w:t>decisa crescita</w:t>
      </w:r>
      <w:r w:rsidR="00703C97">
        <w:rPr>
          <w:rFonts w:ascii="Arial" w:hAnsi="Arial"/>
          <w:color w:val="000000"/>
          <w:sz w:val="20"/>
        </w:rPr>
        <w:t xml:space="preserve"> per tutti i principali indicatori. </w:t>
      </w:r>
      <w:r>
        <w:rPr>
          <w:rFonts w:ascii="Arial" w:hAnsi="Arial"/>
          <w:color w:val="000000"/>
          <w:sz w:val="20"/>
        </w:rPr>
        <w:t>Dalle elaborazioni del nostro U</w:t>
      </w:r>
      <w:r w:rsidR="00703C97">
        <w:rPr>
          <w:rFonts w:ascii="Arial" w:hAnsi="Arial"/>
          <w:color w:val="000000"/>
          <w:sz w:val="20"/>
        </w:rPr>
        <w:t xml:space="preserve">fficio studi </w:t>
      </w:r>
      <w:r>
        <w:rPr>
          <w:rFonts w:ascii="Arial" w:hAnsi="Arial"/>
          <w:color w:val="000000"/>
          <w:sz w:val="20"/>
        </w:rPr>
        <w:t>emerge che il</w:t>
      </w:r>
      <w:r w:rsidR="00703C97">
        <w:rPr>
          <w:rFonts w:ascii="Arial" w:hAnsi="Arial"/>
          <w:color w:val="000000"/>
          <w:sz w:val="20"/>
        </w:rPr>
        <w:t xml:space="preserve"> 2015 si è dimostrato </w:t>
      </w:r>
      <w:r>
        <w:rPr>
          <w:rFonts w:ascii="Arial" w:hAnsi="Arial"/>
          <w:color w:val="000000"/>
          <w:sz w:val="20"/>
        </w:rPr>
        <w:t xml:space="preserve">migliore di quanto potessimo aspettarci; più che </w:t>
      </w:r>
      <w:r w:rsidR="00703C97">
        <w:rPr>
          <w:rFonts w:ascii="Arial" w:hAnsi="Arial"/>
          <w:color w:val="000000"/>
          <w:sz w:val="20"/>
        </w:rPr>
        <w:t>in passato le soddisfazioni vengono anche dal mercato interno, un segmento che nel 2016 potrebbe riservare ulteriori soddisfazioni.</w:t>
      </w:r>
    </w:p>
    <w:p w:rsidR="00703C97" w:rsidRDefault="008F4759" w:rsidP="008F4759">
      <w:pPr>
        <w:jc w:val="both"/>
        <w:rPr>
          <w:rFonts w:ascii="Arial" w:hAnsi="Arial"/>
          <w:color w:val="000000"/>
          <w:sz w:val="20"/>
        </w:rPr>
      </w:pPr>
      <w:r>
        <w:rPr>
          <w:rFonts w:ascii="Arial" w:hAnsi="Arial"/>
          <w:color w:val="000000"/>
          <w:sz w:val="20"/>
        </w:rPr>
        <w:t>Ma diamo una occhiata insieme a quest</w:t>
      </w:r>
      <w:r w:rsidR="00703C97">
        <w:rPr>
          <w:rFonts w:ascii="Arial" w:hAnsi="Arial"/>
          <w:color w:val="000000"/>
          <w:sz w:val="20"/>
        </w:rPr>
        <w:t>i numeri che, è bene ricordarlo, in fase di consuntivo potrebbero essere oggetto di parziali revisioni.</w:t>
      </w:r>
    </w:p>
    <w:p w:rsidR="008F4759" w:rsidRPr="008F4759" w:rsidRDefault="008F4759" w:rsidP="008F4759">
      <w:pPr>
        <w:jc w:val="both"/>
        <w:rPr>
          <w:rFonts w:ascii="Arial" w:hAnsi="Arial"/>
          <w:color w:val="000000"/>
          <w:sz w:val="20"/>
        </w:rPr>
      </w:pPr>
    </w:p>
    <w:p w:rsidR="00D974DE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 w:rsidRPr="00011E54">
        <w:rPr>
          <w:rFonts w:ascii="Arial" w:hAnsi="Arial"/>
          <w:sz w:val="20"/>
        </w:rPr>
        <w:t xml:space="preserve">La </w:t>
      </w:r>
      <w:r w:rsidRPr="00011E54">
        <w:rPr>
          <w:rFonts w:ascii="Arial" w:hAnsi="Arial"/>
          <w:b/>
          <w:sz w:val="20"/>
        </w:rPr>
        <w:t>produzione</w:t>
      </w:r>
      <w:r>
        <w:rPr>
          <w:rFonts w:ascii="Arial" w:hAnsi="Arial"/>
          <w:sz w:val="20"/>
        </w:rPr>
        <w:t xml:space="preserve"> sale a 1.790 milioni di euro, il 7,2 per cento in più rispetto ai 1.669 del 2014, anno in cui era già stato messo a segno un buon 8,6 per cento rispetto al 2013. La tendenza verso i livelli pre-crisi (nel 2008 il fatturato italiano del settore era superiore ai 2 miliardi di euro) è dunque evidente e costante</w:t>
      </w:r>
      <w:r w:rsidR="008F4759">
        <w:rPr>
          <w:rFonts w:ascii="Arial" w:hAnsi="Arial"/>
          <w:sz w:val="20"/>
        </w:rPr>
        <w:t xml:space="preserve">, un dato di cui abbiamo conferma anche </w:t>
      </w:r>
      <w:r>
        <w:rPr>
          <w:rFonts w:ascii="Arial" w:hAnsi="Arial"/>
          <w:sz w:val="20"/>
        </w:rPr>
        <w:t>dall’andamento degli ordini destagionalizzati.</w:t>
      </w:r>
      <w:r w:rsidR="00F94CE0">
        <w:rPr>
          <w:rFonts w:ascii="Arial" w:hAnsi="Arial"/>
          <w:sz w:val="20"/>
        </w:rPr>
        <w:t xml:space="preserve"> </w:t>
      </w:r>
    </w:p>
    <w:p w:rsidR="008F4759" w:rsidRDefault="00F94CE0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Dalla slide che stiamo proiettando potete cogliere</w:t>
      </w:r>
      <w:r w:rsidR="00671281">
        <w:rPr>
          <w:rFonts w:ascii="Arial" w:hAnsi="Arial"/>
          <w:sz w:val="20"/>
        </w:rPr>
        <w:t xml:space="preserve"> non solo questo dato, ma anche</w:t>
      </w:r>
      <w:r>
        <w:rPr>
          <w:rFonts w:ascii="Arial" w:hAnsi="Arial"/>
          <w:sz w:val="20"/>
        </w:rPr>
        <w:t xml:space="preserve"> l’</w:t>
      </w:r>
      <w:r w:rsidRPr="00D974DE">
        <w:rPr>
          <w:rFonts w:ascii="Arial" w:hAnsi="Arial"/>
          <w:b/>
          <w:sz w:val="20"/>
        </w:rPr>
        <w:t xml:space="preserve">andamento </w:t>
      </w:r>
      <w:r w:rsidR="00671281" w:rsidRPr="00D974DE">
        <w:rPr>
          <w:rFonts w:ascii="Arial" w:hAnsi="Arial"/>
          <w:b/>
          <w:sz w:val="20"/>
        </w:rPr>
        <w:t xml:space="preserve">complessivo </w:t>
      </w:r>
      <w:r w:rsidRPr="00D974DE">
        <w:rPr>
          <w:rFonts w:ascii="Arial" w:hAnsi="Arial"/>
          <w:b/>
          <w:sz w:val="20"/>
        </w:rPr>
        <w:t xml:space="preserve">degli ordinativi </w:t>
      </w:r>
      <w:r>
        <w:rPr>
          <w:rFonts w:ascii="Arial" w:hAnsi="Arial"/>
          <w:sz w:val="20"/>
        </w:rPr>
        <w:t>per l’indu</w:t>
      </w:r>
      <w:r w:rsidR="00671281">
        <w:rPr>
          <w:rFonts w:ascii="Arial" w:hAnsi="Arial"/>
          <w:sz w:val="20"/>
        </w:rPr>
        <w:t>s</w:t>
      </w:r>
      <w:r>
        <w:rPr>
          <w:rFonts w:ascii="Arial" w:hAnsi="Arial"/>
          <w:sz w:val="20"/>
        </w:rPr>
        <w:t>tria italiana negli ultimi dieci anni.</w:t>
      </w:r>
    </w:p>
    <w:p w:rsidR="006F527B" w:rsidRDefault="006F527B" w:rsidP="00703C97">
      <w:pPr>
        <w:tabs>
          <w:tab w:val="left" w:pos="426"/>
        </w:tabs>
        <w:jc w:val="both"/>
        <w:rPr>
          <w:rFonts w:ascii="Arial" w:hAnsi="Arial"/>
          <w:sz w:val="20"/>
        </w:rPr>
      </w:pPr>
    </w:p>
    <w:p w:rsidR="006F527B" w:rsidRDefault="006F527B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Ma torniamo alla nostra tabella: l</w:t>
      </w:r>
      <w:r w:rsidR="00703C97">
        <w:rPr>
          <w:rFonts w:ascii="Arial" w:hAnsi="Arial"/>
          <w:sz w:val="20"/>
        </w:rPr>
        <w:t xml:space="preserve">e </w:t>
      </w:r>
      <w:r w:rsidR="00703C97" w:rsidRPr="00636D79">
        <w:rPr>
          <w:rFonts w:ascii="Arial" w:hAnsi="Arial"/>
          <w:b/>
          <w:sz w:val="20"/>
        </w:rPr>
        <w:t>esportazioni</w:t>
      </w:r>
      <w:r w:rsidR="008F4759">
        <w:rPr>
          <w:rFonts w:ascii="Arial" w:hAnsi="Arial"/>
          <w:sz w:val="20"/>
        </w:rPr>
        <w:t>, come potete vedere, s</w:t>
      </w:r>
      <w:r w:rsidR="00703C97">
        <w:rPr>
          <w:rFonts w:ascii="Arial" w:hAnsi="Arial"/>
          <w:sz w:val="20"/>
        </w:rPr>
        <w:t>ono sempre il punto di forza della tecnologia italiana: nel 2015 crescono del 6,8 per cento rispetto al 2014. L’anno scorso tale incremento era stato di misura inferiore, ovvero il 5,7 per cento in più rispetto al 2013.</w:t>
      </w:r>
      <w:r w:rsidR="00CB21A5">
        <w:rPr>
          <w:rFonts w:ascii="Arial" w:hAnsi="Arial"/>
          <w:sz w:val="20"/>
        </w:rPr>
        <w:t xml:space="preserve"> </w:t>
      </w:r>
    </w:p>
    <w:p w:rsidR="00D974DE" w:rsidRDefault="00D974DE" w:rsidP="00703C97">
      <w:pPr>
        <w:tabs>
          <w:tab w:val="left" w:pos="426"/>
        </w:tabs>
        <w:jc w:val="both"/>
        <w:rPr>
          <w:rFonts w:ascii="Arial" w:hAnsi="Arial"/>
          <w:sz w:val="20"/>
        </w:rPr>
      </w:pPr>
    </w:p>
    <w:p w:rsidR="00703C97" w:rsidRDefault="00CB21A5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Non abbiamo ancora dati puntuali sulle destinazioni, ma per avere una idea dei principali mercati di </w:t>
      </w:r>
      <w:r w:rsidR="0061170F">
        <w:rPr>
          <w:rFonts w:ascii="Arial" w:hAnsi="Arial"/>
          <w:sz w:val="20"/>
        </w:rPr>
        <w:t>sbocco</w:t>
      </w:r>
      <w:r>
        <w:rPr>
          <w:rFonts w:ascii="Arial" w:hAnsi="Arial"/>
          <w:sz w:val="20"/>
        </w:rPr>
        <w:t xml:space="preserve"> può esserci di aiuto </w:t>
      </w:r>
      <w:r w:rsidRPr="00D974DE">
        <w:rPr>
          <w:rFonts w:ascii="Arial" w:hAnsi="Arial"/>
          <w:b/>
          <w:sz w:val="20"/>
        </w:rPr>
        <w:t>quanto accaduto nel 2014</w:t>
      </w:r>
      <w:r>
        <w:rPr>
          <w:rFonts w:ascii="Arial" w:hAnsi="Arial"/>
          <w:sz w:val="20"/>
        </w:rPr>
        <w:t xml:space="preserve">, quando le nostre </w:t>
      </w:r>
      <w:r w:rsidR="00703C97">
        <w:rPr>
          <w:rFonts w:ascii="Arial" w:hAnsi="Arial"/>
          <w:sz w:val="20"/>
        </w:rPr>
        <w:t>esportazioni verso l’Europa intra ed extra comunitaria, hanno rappresentato il 64 per</w:t>
      </w:r>
      <w:r w:rsidR="008F4759">
        <w:rPr>
          <w:rFonts w:ascii="Arial" w:hAnsi="Arial"/>
          <w:sz w:val="20"/>
        </w:rPr>
        <w:t xml:space="preserve"> cento del valore totale;</w:t>
      </w:r>
      <w:r w:rsidR="00703C97">
        <w:rPr>
          <w:rFonts w:ascii="Arial" w:hAnsi="Arial"/>
          <w:sz w:val="20"/>
        </w:rPr>
        <w:t xml:space="preserve"> le Americhe il 17, l’Asia il 14 e Africa ed Oceania rispettivamente il 4 e il 2 per</w:t>
      </w:r>
      <w:r w:rsidR="008F4759">
        <w:rPr>
          <w:rFonts w:ascii="Arial" w:hAnsi="Arial"/>
          <w:sz w:val="20"/>
        </w:rPr>
        <w:t xml:space="preserve"> </w:t>
      </w:r>
      <w:r w:rsidR="00703C97">
        <w:rPr>
          <w:rFonts w:ascii="Arial" w:hAnsi="Arial"/>
          <w:sz w:val="20"/>
        </w:rPr>
        <w:t>cento.</w:t>
      </w:r>
    </w:p>
    <w:p w:rsidR="00CB21A5" w:rsidRDefault="00CB21A5" w:rsidP="00703C97">
      <w:pPr>
        <w:tabs>
          <w:tab w:val="left" w:pos="426"/>
        </w:tabs>
        <w:jc w:val="both"/>
        <w:rPr>
          <w:rFonts w:ascii="Arial" w:hAnsi="Arial"/>
          <w:sz w:val="20"/>
        </w:rPr>
      </w:pPr>
    </w:p>
    <w:p w:rsidR="00703C97" w:rsidRDefault="006F527B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Tornando al preconsuntivo 2015 </w:t>
      </w:r>
      <w:r w:rsidR="00D974DE">
        <w:rPr>
          <w:rFonts w:ascii="Arial" w:hAnsi="Arial"/>
          <w:sz w:val="20"/>
        </w:rPr>
        <w:t>notiamo</w:t>
      </w:r>
      <w:r>
        <w:rPr>
          <w:rFonts w:ascii="Arial" w:hAnsi="Arial"/>
          <w:sz w:val="20"/>
        </w:rPr>
        <w:t xml:space="preserve"> che</w:t>
      </w:r>
      <w:r w:rsidR="00CB21A5">
        <w:rPr>
          <w:rFonts w:ascii="Arial" w:hAnsi="Arial"/>
          <w:sz w:val="20"/>
        </w:rPr>
        <w:t xml:space="preserve"> l</w:t>
      </w:r>
      <w:r w:rsidR="00703C97" w:rsidRPr="00011E54">
        <w:rPr>
          <w:rFonts w:ascii="Arial" w:hAnsi="Arial"/>
          <w:sz w:val="20"/>
        </w:rPr>
        <w:t xml:space="preserve">e </w:t>
      </w:r>
      <w:r w:rsidR="00703C97" w:rsidRPr="00011E54">
        <w:rPr>
          <w:rFonts w:ascii="Arial" w:hAnsi="Arial"/>
          <w:b/>
          <w:sz w:val="20"/>
        </w:rPr>
        <w:t>importazioni</w:t>
      </w:r>
      <w:r w:rsidR="00703C97">
        <w:rPr>
          <w:rFonts w:ascii="Arial" w:hAnsi="Arial"/>
          <w:b/>
          <w:sz w:val="20"/>
        </w:rPr>
        <w:t xml:space="preserve"> </w:t>
      </w:r>
      <w:r w:rsidR="00703C97" w:rsidRPr="00864DD2">
        <w:rPr>
          <w:rFonts w:ascii="Arial" w:hAnsi="Arial"/>
          <w:sz w:val="20"/>
        </w:rPr>
        <w:softHyphen/>
        <w:t xml:space="preserve">– </w:t>
      </w:r>
      <w:r w:rsidR="00703C97">
        <w:rPr>
          <w:rFonts w:ascii="Arial" w:hAnsi="Arial"/>
          <w:sz w:val="20"/>
        </w:rPr>
        <w:t>a cui spetta poco meno del 25 per cento del totale degli investimenti in tecnologie per il legno in Italia – si attestano a 152 miliardi di euro, ben il 22,5 per cento in più rispetto ai 124 miliardi del 2014.</w:t>
      </w: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La </w:t>
      </w:r>
      <w:r w:rsidRPr="00604E8E">
        <w:rPr>
          <w:rFonts w:ascii="Arial" w:hAnsi="Arial"/>
          <w:b/>
          <w:sz w:val="20"/>
        </w:rPr>
        <w:t>bilancia commerciale</w:t>
      </w:r>
      <w:r>
        <w:rPr>
          <w:rFonts w:ascii="Arial" w:hAnsi="Arial"/>
          <w:sz w:val="20"/>
        </w:rPr>
        <w:t xml:space="preserve"> arriva ai 1.188 milioni di euro (più 5 per cento), contro i 1.131 del 2014 (più 8,3 per cento sul 2013). Buono l’andamento del </w:t>
      </w:r>
      <w:r w:rsidRPr="00604E8E">
        <w:rPr>
          <w:rFonts w:ascii="Arial" w:hAnsi="Arial"/>
          <w:b/>
          <w:sz w:val="20"/>
        </w:rPr>
        <w:t>mercato interno</w:t>
      </w:r>
      <w:r>
        <w:rPr>
          <w:rFonts w:ascii="Arial" w:hAnsi="Arial"/>
          <w:sz w:val="20"/>
        </w:rPr>
        <w:t xml:space="preserve"> che</w:t>
      </w:r>
      <w:r w:rsidR="00CB21A5">
        <w:rPr>
          <w:rFonts w:ascii="Arial" w:hAnsi="Arial"/>
          <w:sz w:val="20"/>
        </w:rPr>
        <w:t>,</w:t>
      </w:r>
      <w:r>
        <w:rPr>
          <w:rFonts w:ascii="Arial" w:hAnsi="Arial"/>
          <w:sz w:val="20"/>
        </w:rPr>
        <w:t xml:space="preserve"> superando i 450 milioni di euro</w:t>
      </w:r>
      <w:r w:rsidR="00CB21A5">
        <w:rPr>
          <w:rFonts w:ascii="Arial" w:hAnsi="Arial"/>
          <w:sz w:val="20"/>
        </w:rPr>
        <w:t>,</w:t>
      </w:r>
      <w:r>
        <w:rPr>
          <w:rFonts w:ascii="Arial" w:hAnsi="Arial"/>
          <w:sz w:val="20"/>
        </w:rPr>
        <w:t xml:space="preserve"> segna un rotondo 8,7 per cento in più rispetto ai 414 del 2014, a loro volta in crescita del 18,2 rispetto al 2013. Anche il mercato nazionale, dunque, mostra un andamento decisamente positivo, ulteriore riprova della validità degli incentivi governativi agli investimenti e di un “sentiment” delle imprese generalmen</w:t>
      </w:r>
      <w:r w:rsidR="00CB21A5">
        <w:rPr>
          <w:rFonts w:ascii="Arial" w:hAnsi="Arial"/>
          <w:sz w:val="20"/>
        </w:rPr>
        <w:t xml:space="preserve">te più ottimista, tale da indurle a decidere </w:t>
      </w:r>
      <w:r>
        <w:rPr>
          <w:rFonts w:ascii="Arial" w:hAnsi="Arial"/>
          <w:sz w:val="20"/>
        </w:rPr>
        <w:t>nuovi investimenti nel rinnovamento o nel potenziamento dei propri strumenti di produzione.</w:t>
      </w: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</w:p>
    <w:p w:rsidR="001F7D25" w:rsidRPr="004E6E33" w:rsidRDefault="001F7D25" w:rsidP="00703C97">
      <w:pPr>
        <w:tabs>
          <w:tab w:val="left" w:pos="426"/>
        </w:tabs>
        <w:jc w:val="both"/>
        <w:rPr>
          <w:rFonts w:ascii="Arial" w:hAnsi="Arial"/>
          <w:b/>
          <w:sz w:val="20"/>
        </w:rPr>
      </w:pPr>
      <w:r w:rsidRPr="004E6E33">
        <w:rPr>
          <w:rFonts w:ascii="Arial" w:hAnsi="Arial"/>
          <w:b/>
          <w:sz w:val="20"/>
        </w:rPr>
        <w:t>LO SCENARIO INTERNAZIONALE</w:t>
      </w: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Per quanto riguarda lo scenario internazionale di settore</w:t>
      </w:r>
      <w:r w:rsidR="00C114AE">
        <w:rPr>
          <w:rFonts w:ascii="Arial" w:hAnsi="Arial"/>
          <w:sz w:val="20"/>
        </w:rPr>
        <w:t xml:space="preserve"> devo premettere che non disponiamo di dati certi </w:t>
      </w:r>
      <w:r>
        <w:rPr>
          <w:rFonts w:ascii="Arial" w:hAnsi="Arial"/>
          <w:sz w:val="20"/>
        </w:rPr>
        <w:t xml:space="preserve">a livello mondiale, </w:t>
      </w:r>
      <w:r w:rsidR="00C114AE">
        <w:rPr>
          <w:rFonts w:ascii="Arial" w:hAnsi="Arial"/>
          <w:sz w:val="20"/>
        </w:rPr>
        <w:t xml:space="preserve">per cui </w:t>
      </w:r>
      <w:r>
        <w:rPr>
          <w:rFonts w:ascii="Arial" w:hAnsi="Arial"/>
          <w:sz w:val="20"/>
        </w:rPr>
        <w:t xml:space="preserve">dobbiamo </w:t>
      </w:r>
      <w:r w:rsidR="00C114AE">
        <w:rPr>
          <w:rFonts w:ascii="Arial" w:hAnsi="Arial"/>
          <w:sz w:val="20"/>
        </w:rPr>
        <w:t>limitarci ad esaminare l’</w:t>
      </w:r>
      <w:r w:rsidR="00C114AE" w:rsidRPr="00D974DE">
        <w:rPr>
          <w:rFonts w:ascii="Arial" w:hAnsi="Arial"/>
          <w:b/>
          <w:sz w:val="20"/>
        </w:rPr>
        <w:t>Europa</w:t>
      </w:r>
      <w:r>
        <w:rPr>
          <w:rFonts w:ascii="Arial" w:hAnsi="Arial"/>
          <w:sz w:val="20"/>
        </w:rPr>
        <w:t xml:space="preserve"> che</w:t>
      </w:r>
      <w:r w:rsidR="00C114AE">
        <w:rPr>
          <w:rFonts w:ascii="Arial" w:hAnsi="Arial"/>
          <w:sz w:val="20"/>
        </w:rPr>
        <w:t xml:space="preserve"> – grazie anche e soprattutto a</w:t>
      </w:r>
      <w:r>
        <w:rPr>
          <w:rFonts w:ascii="Arial" w:hAnsi="Arial"/>
          <w:sz w:val="20"/>
        </w:rPr>
        <w:t xml:space="preserve"> Italia e Germania </w:t>
      </w:r>
      <w:r w:rsidR="00C114AE">
        <w:rPr>
          <w:rFonts w:ascii="Arial" w:hAnsi="Arial"/>
          <w:sz w:val="20"/>
        </w:rPr>
        <w:t>– è comunque area di riferimento assoluto per la produzione quanto per i flussi di esportazione</w:t>
      </w:r>
      <w:r>
        <w:rPr>
          <w:rFonts w:ascii="Arial" w:hAnsi="Arial"/>
          <w:sz w:val="20"/>
        </w:rPr>
        <w:t>.</w:t>
      </w: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Secondo stime Acimall basate sulle elaborazioni delle varie associazioni europee di settore, a livello continentale la produzione nel </w:t>
      </w:r>
      <w:r w:rsidRPr="00D974DE">
        <w:rPr>
          <w:rFonts w:ascii="Arial" w:hAnsi="Arial"/>
          <w:b/>
          <w:sz w:val="20"/>
        </w:rPr>
        <w:t>2014</w:t>
      </w:r>
      <w:r>
        <w:rPr>
          <w:rFonts w:ascii="Arial" w:hAnsi="Arial"/>
          <w:sz w:val="20"/>
        </w:rPr>
        <w:t xml:space="preserve"> (</w:t>
      </w:r>
      <w:r w:rsidR="00DC23CE">
        <w:rPr>
          <w:rFonts w:ascii="Arial" w:hAnsi="Arial"/>
          <w:sz w:val="20"/>
        </w:rPr>
        <w:t xml:space="preserve">purtroppo </w:t>
      </w:r>
      <w:r>
        <w:rPr>
          <w:rFonts w:ascii="Arial" w:hAnsi="Arial"/>
          <w:sz w:val="20"/>
        </w:rPr>
        <w:t>non sono ancora disponibili i dati aggiornati al 2015) è risultata pari a 5.860 milioni di euro, con un valore delle esportazioni intorno ai 1.220 milioni, il 31 per</w:t>
      </w:r>
      <w:r w:rsidR="00DC23CE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cento del tot</w:t>
      </w:r>
      <w:r w:rsidR="00DC23CE">
        <w:rPr>
          <w:rFonts w:ascii="Arial" w:hAnsi="Arial"/>
          <w:sz w:val="20"/>
        </w:rPr>
        <w:t>ale, e</w:t>
      </w:r>
      <w:r>
        <w:rPr>
          <w:rFonts w:ascii="Arial" w:hAnsi="Arial"/>
          <w:sz w:val="20"/>
        </w:rPr>
        <w:t xml:space="preserve"> un import limitato a 600 milioni di euro.</w:t>
      </w: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I dati non sono aggiornati, </w:t>
      </w:r>
      <w:r w:rsidR="00DC23CE">
        <w:rPr>
          <w:rFonts w:ascii="Arial" w:hAnsi="Arial"/>
          <w:sz w:val="20"/>
        </w:rPr>
        <w:t xml:space="preserve">lo ribadisco, </w:t>
      </w:r>
      <w:r>
        <w:rPr>
          <w:rFonts w:ascii="Arial" w:hAnsi="Arial"/>
          <w:sz w:val="20"/>
        </w:rPr>
        <w:t xml:space="preserve">ma </w:t>
      </w:r>
      <w:r w:rsidR="00DC23CE">
        <w:rPr>
          <w:rFonts w:ascii="Arial" w:hAnsi="Arial"/>
          <w:sz w:val="20"/>
        </w:rPr>
        <w:t xml:space="preserve">ritengo </w:t>
      </w:r>
      <w:r w:rsidR="006F527B">
        <w:rPr>
          <w:rFonts w:ascii="Arial" w:hAnsi="Arial"/>
          <w:sz w:val="20"/>
        </w:rPr>
        <w:t>possano essere</w:t>
      </w:r>
      <w:r w:rsidR="00DC23CE">
        <w:rPr>
          <w:rFonts w:ascii="Arial" w:hAnsi="Arial"/>
          <w:sz w:val="20"/>
        </w:rPr>
        <w:t xml:space="preserve"> utili </w:t>
      </w:r>
      <w:r>
        <w:rPr>
          <w:rFonts w:ascii="Arial" w:hAnsi="Arial"/>
          <w:sz w:val="20"/>
        </w:rPr>
        <w:t>per evidenziare le dimensioni del settore</w:t>
      </w:r>
      <w:r w:rsidR="00DC23CE">
        <w:rPr>
          <w:rFonts w:ascii="Arial" w:hAnsi="Arial"/>
          <w:sz w:val="20"/>
        </w:rPr>
        <w:t>,</w:t>
      </w:r>
      <w:r>
        <w:rPr>
          <w:rFonts w:ascii="Arial" w:hAnsi="Arial"/>
          <w:sz w:val="20"/>
        </w:rPr>
        <w:t xml:space="preserve"> almeno a livello europeo. </w:t>
      </w:r>
    </w:p>
    <w:p w:rsidR="00076C21" w:rsidRDefault="00076C21" w:rsidP="00703C97">
      <w:pPr>
        <w:tabs>
          <w:tab w:val="left" w:pos="426"/>
        </w:tabs>
        <w:jc w:val="both"/>
        <w:rPr>
          <w:rFonts w:ascii="Arial" w:hAnsi="Arial"/>
          <w:sz w:val="20"/>
        </w:rPr>
      </w:pPr>
    </w:p>
    <w:p w:rsidR="00076C21" w:rsidRDefault="00076C21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Nella slide seguente il nostro Ufficio studi ha elaborato un grafico che ci permette di cogliere immediatamente quali sono </w:t>
      </w:r>
      <w:r w:rsidRPr="00076C21">
        <w:rPr>
          <w:rFonts w:ascii="Arial" w:hAnsi="Arial"/>
          <w:b/>
          <w:sz w:val="20"/>
        </w:rPr>
        <w:t>gli attori più importanti del “made in Europe”</w:t>
      </w:r>
      <w:r>
        <w:rPr>
          <w:rFonts w:ascii="Arial" w:hAnsi="Arial"/>
          <w:sz w:val="20"/>
        </w:rPr>
        <w:t xml:space="preserve">, con Italia e Germania che, insieme, rappresentano i due terzi dell’offerta. </w:t>
      </w: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</w:t>
      </w: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 w:rsidRPr="00375AA4">
        <w:rPr>
          <w:rFonts w:ascii="Arial" w:hAnsi="Arial"/>
          <w:b/>
          <w:sz w:val="20"/>
        </w:rPr>
        <w:t>IL SETTORE NEL CONTESTO ECONOMICO ITALIANO</w:t>
      </w:r>
    </w:p>
    <w:p w:rsidR="00703C97" w:rsidRDefault="00DC23CE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Ma vorrei proporvi un altro punto di vista, ricollegandomi ad alcuni cenni che ho fatto in precedenza sull’importanza del mercato italiano. </w:t>
      </w:r>
      <w:r w:rsidR="00703C97">
        <w:rPr>
          <w:rFonts w:ascii="Arial" w:hAnsi="Arial"/>
          <w:sz w:val="20"/>
        </w:rPr>
        <w:t xml:space="preserve">Il </w:t>
      </w:r>
      <w:r w:rsidR="00703C97" w:rsidRPr="00DC23CE">
        <w:rPr>
          <w:rFonts w:ascii="Arial" w:hAnsi="Arial"/>
          <w:b/>
          <w:sz w:val="20"/>
        </w:rPr>
        <w:t>prodotto interno lordo dell’Italia</w:t>
      </w:r>
      <w:r w:rsidR="00703C97">
        <w:rPr>
          <w:rFonts w:ascii="Arial" w:hAnsi="Arial"/>
          <w:sz w:val="20"/>
        </w:rPr>
        <w:t>, considerando l’intera economia del Paese, nel 2014 si è attestato intorno a 1.700 miliardi di euro</w:t>
      </w:r>
      <w:r>
        <w:rPr>
          <w:rFonts w:ascii="Arial" w:hAnsi="Arial"/>
          <w:sz w:val="20"/>
        </w:rPr>
        <w:t>,</w:t>
      </w:r>
      <w:r w:rsidR="00703C97">
        <w:rPr>
          <w:rFonts w:ascii="Arial" w:hAnsi="Arial"/>
          <w:sz w:val="20"/>
        </w:rPr>
        <w:t xml:space="preserve"> con una stima di crescita per il 2015 dello 0,8 per</w:t>
      </w:r>
      <w:r>
        <w:rPr>
          <w:rFonts w:ascii="Arial" w:hAnsi="Arial"/>
          <w:sz w:val="20"/>
        </w:rPr>
        <w:t xml:space="preserve"> </w:t>
      </w:r>
      <w:r w:rsidR="00703C97">
        <w:rPr>
          <w:rFonts w:ascii="Arial" w:hAnsi="Arial"/>
          <w:sz w:val="20"/>
        </w:rPr>
        <w:t>cento.</w:t>
      </w:r>
    </w:p>
    <w:p w:rsidR="00703C97" w:rsidRDefault="00DC23CE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Il settore delle macchine e degli utensili per la lavorazione del legno, c</w:t>
      </w:r>
      <w:r w:rsidR="00703C97">
        <w:rPr>
          <w:rFonts w:ascii="Arial" w:hAnsi="Arial"/>
          <w:sz w:val="20"/>
        </w:rPr>
        <w:t>on una produzione vicina a 1,8 miliardi di euro</w:t>
      </w:r>
      <w:r>
        <w:rPr>
          <w:rFonts w:ascii="Arial" w:hAnsi="Arial"/>
          <w:sz w:val="20"/>
        </w:rPr>
        <w:t>,</w:t>
      </w:r>
      <w:r w:rsidR="00703C97">
        <w:rPr>
          <w:rFonts w:ascii="Arial" w:hAnsi="Arial"/>
          <w:sz w:val="20"/>
        </w:rPr>
        <w:t xml:space="preserve"> rappresenta quindi poco più dell’1 per mille del valore dell’intera economia italiana.</w:t>
      </w:r>
    </w:p>
    <w:p w:rsidR="00DC23CE" w:rsidRDefault="00DC23CE" w:rsidP="00703C97">
      <w:pPr>
        <w:tabs>
          <w:tab w:val="left" w:pos="426"/>
        </w:tabs>
        <w:jc w:val="both"/>
        <w:rPr>
          <w:rFonts w:ascii="Arial" w:hAnsi="Arial"/>
          <w:sz w:val="20"/>
        </w:rPr>
      </w:pP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A questo valore</w:t>
      </w:r>
      <w:r w:rsidR="00DC23CE">
        <w:rPr>
          <w:rFonts w:ascii="Arial" w:hAnsi="Arial"/>
          <w:sz w:val="20"/>
        </w:rPr>
        <w:t>,</w:t>
      </w:r>
      <w:r>
        <w:rPr>
          <w:rFonts w:ascii="Arial" w:hAnsi="Arial"/>
          <w:sz w:val="20"/>
        </w:rPr>
        <w:t xml:space="preserve"> solo in apparenza limitato</w:t>
      </w:r>
      <w:r w:rsidR="00DC23CE">
        <w:rPr>
          <w:rFonts w:ascii="Arial" w:hAnsi="Arial"/>
          <w:sz w:val="20"/>
        </w:rPr>
        <w:t>,</w:t>
      </w:r>
      <w:r>
        <w:rPr>
          <w:rFonts w:ascii="Arial" w:hAnsi="Arial"/>
          <w:sz w:val="20"/>
        </w:rPr>
        <w:t xml:space="preserve"> si contrappone il contributo che il settore dà all’attivo della </w:t>
      </w:r>
      <w:r w:rsidRPr="00DC23CE">
        <w:rPr>
          <w:rFonts w:ascii="Arial" w:hAnsi="Arial"/>
          <w:b/>
          <w:sz w:val="20"/>
        </w:rPr>
        <w:t>bilancia commerciale</w:t>
      </w:r>
      <w:r w:rsidR="00DC23CE">
        <w:rPr>
          <w:rFonts w:ascii="Arial" w:hAnsi="Arial"/>
          <w:sz w:val="20"/>
        </w:rPr>
        <w:t xml:space="preserve"> italiana, in termini relativi di gran lunga più importante!</w:t>
      </w:r>
      <w:r>
        <w:rPr>
          <w:rFonts w:ascii="Arial" w:hAnsi="Arial"/>
          <w:sz w:val="20"/>
        </w:rPr>
        <w:t xml:space="preserve"> Nel 2015, infatti, il surplus commerciale del Paese è stato pari a 37 miliardi di euro, mentre quello dell’industria delle macchine per la lavorazione del legno si è avvicinato a 1,2 miliardi, quindi oltre il 3,2 percento del totale nazionale, cifra che rappresenta un ordine di grandezza in più rispetto al contributo sul prodotto interno lordo e ne evidenzia l’importanza in termini di commercio internazionale.    </w:t>
      </w: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703C97" w:rsidRDefault="00703C97" w:rsidP="00703C97">
      <w:pPr>
        <w:tabs>
          <w:tab w:val="left" w:pos="426"/>
        </w:tabs>
        <w:jc w:val="both"/>
        <w:rPr>
          <w:rFonts w:ascii="Arial" w:hAnsi="Arial"/>
          <w:b/>
          <w:sz w:val="20"/>
        </w:rPr>
      </w:pPr>
      <w:r w:rsidRPr="00375AA4">
        <w:rPr>
          <w:rFonts w:ascii="Arial" w:hAnsi="Arial"/>
          <w:b/>
          <w:sz w:val="20"/>
        </w:rPr>
        <w:t>LE PREVISIONI PER IL 2016</w:t>
      </w:r>
    </w:p>
    <w:p w:rsidR="006F527B" w:rsidRDefault="006F527B" w:rsidP="00703C97">
      <w:p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Non ci resta che prendere in mano la sfera di cristallo e, pur con tutti gli strumenti di analisi ed econometrici in nostro possesso, provare a ipotizzare cosa accadrà nel prossimo futuro, nell’anno che stiamo già vivendo.</w:t>
      </w:r>
    </w:p>
    <w:p w:rsidR="00703C97" w:rsidRDefault="00703C97" w:rsidP="00703C97">
      <w:p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L’Ufficio studi di Acimall ipotizza per il </w:t>
      </w:r>
      <w:r w:rsidRPr="001941AE">
        <w:rPr>
          <w:rFonts w:ascii="Arial" w:hAnsi="Arial"/>
          <w:b/>
          <w:sz w:val="20"/>
        </w:rPr>
        <w:t>2016</w:t>
      </w:r>
      <w:r w:rsidRPr="00E80A62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un aumento del fatturato per il settore delle tecnologie italiane per il legno che potrebbe attestarsi fra il 5 e il 10 per cento, una prospettiva indubbiamente incoraggiante.</w:t>
      </w:r>
    </w:p>
    <w:p w:rsidR="00991517" w:rsidRDefault="00703C97" w:rsidP="00703C97">
      <w:p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Come di consueto, un contributo determinante alla crescita arriverà dalle esportazioni, trainate dalla </w:t>
      </w:r>
      <w:r w:rsidRPr="00991517">
        <w:rPr>
          <w:rFonts w:ascii="Arial" w:hAnsi="Arial"/>
          <w:b/>
          <w:sz w:val="20"/>
        </w:rPr>
        <w:t>crescita nordamericana</w:t>
      </w:r>
      <w:r>
        <w:rPr>
          <w:rFonts w:ascii="Arial" w:hAnsi="Arial"/>
          <w:sz w:val="20"/>
        </w:rPr>
        <w:t xml:space="preserve">, in grado di compensare il probabile ulteriore calo su </w:t>
      </w:r>
      <w:r w:rsidRPr="00991517">
        <w:rPr>
          <w:rFonts w:ascii="Arial" w:hAnsi="Arial"/>
          <w:b/>
          <w:sz w:val="20"/>
        </w:rPr>
        <w:t>fronte russo</w:t>
      </w:r>
      <w:r>
        <w:rPr>
          <w:rFonts w:ascii="Arial" w:hAnsi="Arial"/>
          <w:sz w:val="20"/>
        </w:rPr>
        <w:t xml:space="preserve"> e il </w:t>
      </w:r>
      <w:r w:rsidRPr="00991517">
        <w:rPr>
          <w:rFonts w:ascii="Arial" w:hAnsi="Arial"/>
          <w:b/>
          <w:sz w:val="20"/>
        </w:rPr>
        <w:t>rallentamento della Cina</w:t>
      </w:r>
      <w:r>
        <w:rPr>
          <w:rFonts w:ascii="Arial" w:hAnsi="Arial"/>
          <w:sz w:val="20"/>
        </w:rPr>
        <w:t xml:space="preserve"> che già si intravede. </w:t>
      </w:r>
    </w:p>
    <w:p w:rsidR="00703C97" w:rsidRDefault="00703C97" w:rsidP="00703C97">
      <w:p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Da notare che in ogni caso circa il 50 per</w:t>
      </w:r>
      <w:r w:rsidR="00991517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 xml:space="preserve">cento delle esportazioni italiane sono destinate a </w:t>
      </w:r>
      <w:r w:rsidRPr="00991517">
        <w:rPr>
          <w:rFonts w:ascii="Arial" w:hAnsi="Arial"/>
          <w:b/>
          <w:sz w:val="20"/>
        </w:rPr>
        <w:t>Paesi dell’Europa comunitaria</w:t>
      </w:r>
      <w:r>
        <w:rPr>
          <w:rFonts w:ascii="Arial" w:hAnsi="Arial"/>
          <w:sz w:val="20"/>
        </w:rPr>
        <w:t>, area matura ma sostanzialmente stabile.</w:t>
      </w:r>
    </w:p>
    <w:p w:rsidR="00703C97" w:rsidRDefault="00703C97" w:rsidP="00703C97">
      <w:pPr>
        <w:jc w:val="both"/>
        <w:rPr>
          <w:rFonts w:ascii="Arial" w:hAnsi="Arial"/>
          <w:sz w:val="20"/>
        </w:rPr>
      </w:pPr>
    </w:p>
    <w:p w:rsidR="00703C97" w:rsidRDefault="00703C97" w:rsidP="00703C97">
      <w:p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Un peso rilevante per l’ottenimento di un risultato che si prevede sensibilmente positivo lo avranno anche le vendite sul </w:t>
      </w:r>
      <w:r w:rsidRPr="00991517">
        <w:rPr>
          <w:rFonts w:ascii="Arial" w:hAnsi="Arial"/>
          <w:b/>
          <w:sz w:val="20"/>
        </w:rPr>
        <w:t>mercato interno</w:t>
      </w:r>
      <w:r>
        <w:rPr>
          <w:rFonts w:ascii="Arial" w:hAnsi="Arial"/>
          <w:sz w:val="20"/>
        </w:rPr>
        <w:t xml:space="preserve">, trascinate dai provvedimenti di politica industriale adottati recentemente dal Governo, tra cui citiamo, oltre al rifinanziamento della “nuova Sabatini”, il </w:t>
      </w:r>
      <w:r w:rsidR="00B35F95">
        <w:rPr>
          <w:rFonts w:ascii="Arial" w:hAnsi="Arial"/>
          <w:sz w:val="20"/>
        </w:rPr>
        <w:t>“</w:t>
      </w:r>
      <w:r>
        <w:rPr>
          <w:rFonts w:ascii="Arial" w:hAnsi="Arial"/>
          <w:sz w:val="20"/>
        </w:rPr>
        <w:t>super</w:t>
      </w:r>
      <w:r w:rsidR="00B35F95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ammortamento</w:t>
      </w:r>
      <w:r w:rsidR="00B35F95">
        <w:rPr>
          <w:rFonts w:ascii="Arial" w:hAnsi="Arial"/>
          <w:sz w:val="20"/>
        </w:rPr>
        <w:t>”</w:t>
      </w:r>
      <w:r>
        <w:rPr>
          <w:rFonts w:ascii="Arial" w:hAnsi="Arial"/>
          <w:sz w:val="20"/>
        </w:rPr>
        <w:t xml:space="preserve"> al 140 percento dei beni strumentali acquistati e la cancellazione dell’incidenza dei macchinari imbullonati sulla rendita catastale dei capannoni.</w:t>
      </w:r>
    </w:p>
    <w:p w:rsidR="00B35F95" w:rsidRDefault="00703C97" w:rsidP="00B35F95">
      <w:p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A questo riguardo occorre citare anche il “bonus mobili” per le giovani coppie, provvedimento confermato anche nel 2016 e che, come l’anno precedente</w:t>
      </w:r>
      <w:r w:rsidR="0061170F">
        <w:rPr>
          <w:rFonts w:ascii="Arial" w:hAnsi="Arial"/>
          <w:sz w:val="20"/>
        </w:rPr>
        <w:t>,</w:t>
      </w:r>
      <w:r>
        <w:rPr>
          <w:rFonts w:ascii="Arial" w:hAnsi="Arial"/>
          <w:sz w:val="20"/>
        </w:rPr>
        <w:t xml:space="preserve"> contribuirà alla crescita dell’industria del mobile italiana, una tra i maggiori consumatori di alta tecnologia a livello mondiale. </w:t>
      </w:r>
    </w:p>
    <w:p w:rsidR="00B35F95" w:rsidRDefault="00B35F95" w:rsidP="00B35F95">
      <w:pPr>
        <w:jc w:val="both"/>
        <w:rPr>
          <w:rFonts w:ascii="Arial" w:hAnsi="Arial"/>
          <w:sz w:val="20"/>
        </w:rPr>
      </w:pPr>
    </w:p>
    <w:p w:rsidR="00703C97" w:rsidRPr="00E80A62" w:rsidRDefault="00703C97" w:rsidP="00B35F95">
      <w:p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Una crescita</w:t>
      </w:r>
      <w:r w:rsidR="00B35F95">
        <w:rPr>
          <w:rFonts w:ascii="Arial" w:hAnsi="Arial"/>
          <w:sz w:val="20"/>
        </w:rPr>
        <w:t>, dunque,</w:t>
      </w:r>
      <w:r>
        <w:rPr>
          <w:rFonts w:ascii="Arial" w:hAnsi="Arial"/>
          <w:sz w:val="20"/>
        </w:rPr>
        <w:t xml:space="preserve"> a cui ci si attende possa </w:t>
      </w:r>
      <w:r w:rsidR="00B35F95">
        <w:rPr>
          <w:rFonts w:ascii="Arial" w:hAnsi="Arial"/>
          <w:sz w:val="20"/>
        </w:rPr>
        <w:t xml:space="preserve">certamente </w:t>
      </w:r>
      <w:r>
        <w:rPr>
          <w:rFonts w:ascii="Arial" w:hAnsi="Arial"/>
          <w:sz w:val="20"/>
        </w:rPr>
        <w:t xml:space="preserve">dare un deciso contributo anche la prossima edizione di </w:t>
      </w:r>
      <w:r w:rsidRPr="00121925">
        <w:rPr>
          <w:rFonts w:ascii="Arial" w:hAnsi="Arial"/>
          <w:b/>
          <w:sz w:val="20"/>
        </w:rPr>
        <w:t>Xylexpo</w:t>
      </w:r>
      <w:r>
        <w:rPr>
          <w:rFonts w:ascii="Arial" w:hAnsi="Arial"/>
          <w:sz w:val="20"/>
        </w:rPr>
        <w:t>, da sempre la vetrina d’eccellenza per le tecnologie e incrocio privilegiato tra domanda e offerta.</w:t>
      </w:r>
    </w:p>
    <w:p w:rsidR="00D8481F" w:rsidRPr="00B36808" w:rsidRDefault="00D8481F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D8481F" w:rsidRDefault="00D8481F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991517" w:rsidRPr="00B36808" w:rsidRDefault="00991517" w:rsidP="00703C9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lang w:val="en-US"/>
        </w:rPr>
      </w:pPr>
    </w:p>
    <w:p w:rsidR="00A11705" w:rsidRPr="00991517" w:rsidRDefault="00D8481F" w:rsidP="00991517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sz w:val="20"/>
        </w:rPr>
      </w:pPr>
      <w:r w:rsidRPr="00B36808">
        <w:rPr>
          <w:rFonts w:ascii="Arial" w:hAnsi="Arial" w:cs="Arial"/>
          <w:i/>
          <w:sz w:val="20"/>
          <w:lang w:val="en-US"/>
        </w:rPr>
        <w:t>vale la parola espressa</w:t>
      </w:r>
    </w:p>
    <w:sectPr w:rsidR="00A11705" w:rsidRPr="00991517" w:rsidSect="00FD18FB">
      <w:headerReference w:type="first" r:id="rId8"/>
      <w:pgSz w:w="11906" w:h="16838"/>
      <w:pgMar w:top="958" w:right="849" w:bottom="993" w:left="1800" w:header="0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527B" w:rsidRDefault="006F527B">
      <w:r>
        <w:separator/>
      </w:r>
    </w:p>
  </w:endnote>
  <w:endnote w:type="continuationSeparator" w:id="0">
    <w:p w:rsidR="006F527B" w:rsidRDefault="006F52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527B" w:rsidRDefault="006F527B">
      <w:r>
        <w:separator/>
      </w:r>
    </w:p>
  </w:footnote>
  <w:footnote w:type="continuationSeparator" w:id="0">
    <w:p w:rsidR="006F527B" w:rsidRDefault="006F527B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527B" w:rsidRPr="00667085" w:rsidRDefault="00127F9B" w:rsidP="00005AAE">
    <w:pPr>
      <w:pStyle w:val="Intestazione"/>
      <w:rPr>
        <w:sz w:val="8"/>
      </w:rPr>
    </w:pPr>
    <w:r>
      <w:rPr>
        <w:noProof/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8" type="#_x0000_t202" style="position:absolute;margin-left:310.05pt;margin-top:-20.55pt;width:9pt;height:9pt;z-index:251659776" filled="f" stroked="f">
          <v:fill o:detectmouseclick="t"/>
          <v:textbox style="mso-next-textbox:#_x0000_s2058" inset=",7.2pt,,7.2pt">
            <w:txbxContent>
              <w:p w:rsidR="006F527B" w:rsidRDefault="006F527B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6F527B" w:rsidRDefault="006F527B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6F527B" w:rsidRDefault="006F527B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6F527B" w:rsidRDefault="006F527B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6F527B" w:rsidRDefault="006F527B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6F527B" w:rsidRPr="00667085" w:rsidRDefault="006F527B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</w:p>
  <w:p w:rsidR="006F527B" w:rsidRDefault="006F527B" w:rsidP="00005AAE">
    <w:pPr>
      <w:pStyle w:val="Intestazione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0739"/>
    <w:rsid w:val="0000305A"/>
    <w:rsid w:val="00005AAE"/>
    <w:rsid w:val="000258B8"/>
    <w:rsid w:val="00056C32"/>
    <w:rsid w:val="00060B5D"/>
    <w:rsid w:val="00070F09"/>
    <w:rsid w:val="0007205C"/>
    <w:rsid w:val="00074EAF"/>
    <w:rsid w:val="00076C21"/>
    <w:rsid w:val="00090722"/>
    <w:rsid w:val="0009530C"/>
    <w:rsid w:val="000A22EE"/>
    <w:rsid w:val="000B5666"/>
    <w:rsid w:val="000C16B8"/>
    <w:rsid w:val="000D0B01"/>
    <w:rsid w:val="000D5A62"/>
    <w:rsid w:val="00100E49"/>
    <w:rsid w:val="00116DC9"/>
    <w:rsid w:val="00120FC2"/>
    <w:rsid w:val="001238E8"/>
    <w:rsid w:val="00127F9B"/>
    <w:rsid w:val="00130B79"/>
    <w:rsid w:val="00143FAC"/>
    <w:rsid w:val="0015070E"/>
    <w:rsid w:val="00176C79"/>
    <w:rsid w:val="00177736"/>
    <w:rsid w:val="00180CAE"/>
    <w:rsid w:val="001A131D"/>
    <w:rsid w:val="001C5B8A"/>
    <w:rsid w:val="001C6173"/>
    <w:rsid w:val="001D054D"/>
    <w:rsid w:val="001D5489"/>
    <w:rsid w:val="001E4243"/>
    <w:rsid w:val="001F3866"/>
    <w:rsid w:val="001F6FC9"/>
    <w:rsid w:val="001F7D25"/>
    <w:rsid w:val="002111DC"/>
    <w:rsid w:val="00216810"/>
    <w:rsid w:val="00217A29"/>
    <w:rsid w:val="002245A3"/>
    <w:rsid w:val="0024670D"/>
    <w:rsid w:val="00251B2E"/>
    <w:rsid w:val="00253A38"/>
    <w:rsid w:val="00260152"/>
    <w:rsid w:val="00265C93"/>
    <w:rsid w:val="002679EA"/>
    <w:rsid w:val="002765B5"/>
    <w:rsid w:val="002806A5"/>
    <w:rsid w:val="002872D6"/>
    <w:rsid w:val="00291B4B"/>
    <w:rsid w:val="00293AB8"/>
    <w:rsid w:val="00293BDB"/>
    <w:rsid w:val="002A6B82"/>
    <w:rsid w:val="002B1221"/>
    <w:rsid w:val="002B149A"/>
    <w:rsid w:val="002C1A8D"/>
    <w:rsid w:val="002C7B6E"/>
    <w:rsid w:val="0030667B"/>
    <w:rsid w:val="00306E79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25875"/>
    <w:rsid w:val="00430D79"/>
    <w:rsid w:val="004464FB"/>
    <w:rsid w:val="0045085E"/>
    <w:rsid w:val="00453EC9"/>
    <w:rsid w:val="004666CD"/>
    <w:rsid w:val="00486A55"/>
    <w:rsid w:val="004900A4"/>
    <w:rsid w:val="004B4D84"/>
    <w:rsid w:val="004C01A6"/>
    <w:rsid w:val="004C0A02"/>
    <w:rsid w:val="004D6E38"/>
    <w:rsid w:val="004E6AE6"/>
    <w:rsid w:val="004E6E33"/>
    <w:rsid w:val="0050585C"/>
    <w:rsid w:val="00505B5D"/>
    <w:rsid w:val="00512700"/>
    <w:rsid w:val="00512739"/>
    <w:rsid w:val="00514C88"/>
    <w:rsid w:val="00525331"/>
    <w:rsid w:val="00531D7B"/>
    <w:rsid w:val="00533E5F"/>
    <w:rsid w:val="00536651"/>
    <w:rsid w:val="00540E71"/>
    <w:rsid w:val="00542E0F"/>
    <w:rsid w:val="0055070E"/>
    <w:rsid w:val="00550A18"/>
    <w:rsid w:val="005541AA"/>
    <w:rsid w:val="005603E1"/>
    <w:rsid w:val="00561DE1"/>
    <w:rsid w:val="005660F1"/>
    <w:rsid w:val="00572A22"/>
    <w:rsid w:val="00572A89"/>
    <w:rsid w:val="00573B3B"/>
    <w:rsid w:val="005740E3"/>
    <w:rsid w:val="0058252A"/>
    <w:rsid w:val="00584069"/>
    <w:rsid w:val="005844F6"/>
    <w:rsid w:val="00586014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1170F"/>
    <w:rsid w:val="00621A9A"/>
    <w:rsid w:val="00621F2B"/>
    <w:rsid w:val="00624A77"/>
    <w:rsid w:val="0063117E"/>
    <w:rsid w:val="0063281B"/>
    <w:rsid w:val="00636525"/>
    <w:rsid w:val="00642E0A"/>
    <w:rsid w:val="00651657"/>
    <w:rsid w:val="0066109B"/>
    <w:rsid w:val="00662D98"/>
    <w:rsid w:val="00671281"/>
    <w:rsid w:val="006756A0"/>
    <w:rsid w:val="00683732"/>
    <w:rsid w:val="006874D0"/>
    <w:rsid w:val="00695A67"/>
    <w:rsid w:val="006A16D3"/>
    <w:rsid w:val="006B1AA5"/>
    <w:rsid w:val="006B67FE"/>
    <w:rsid w:val="006B69BA"/>
    <w:rsid w:val="006D79FC"/>
    <w:rsid w:val="006F0B4E"/>
    <w:rsid w:val="006F527B"/>
    <w:rsid w:val="00702D0D"/>
    <w:rsid w:val="00703C97"/>
    <w:rsid w:val="00706DBD"/>
    <w:rsid w:val="00715892"/>
    <w:rsid w:val="0073260E"/>
    <w:rsid w:val="00742EE4"/>
    <w:rsid w:val="00746122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B60EA"/>
    <w:rsid w:val="007D3413"/>
    <w:rsid w:val="007D474A"/>
    <w:rsid w:val="007D614D"/>
    <w:rsid w:val="007F7D62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48B6"/>
    <w:rsid w:val="00897DBD"/>
    <w:rsid w:val="008B3DEC"/>
    <w:rsid w:val="008B4106"/>
    <w:rsid w:val="008B4E8D"/>
    <w:rsid w:val="008B6DA4"/>
    <w:rsid w:val="008D0008"/>
    <w:rsid w:val="008D11F5"/>
    <w:rsid w:val="008D5B35"/>
    <w:rsid w:val="008D62F8"/>
    <w:rsid w:val="008E1B4C"/>
    <w:rsid w:val="008E49AF"/>
    <w:rsid w:val="008F2148"/>
    <w:rsid w:val="008F3A39"/>
    <w:rsid w:val="008F4759"/>
    <w:rsid w:val="008F4CFE"/>
    <w:rsid w:val="008F4D1B"/>
    <w:rsid w:val="009007F1"/>
    <w:rsid w:val="00901048"/>
    <w:rsid w:val="00904E23"/>
    <w:rsid w:val="00905694"/>
    <w:rsid w:val="009067D7"/>
    <w:rsid w:val="00911867"/>
    <w:rsid w:val="00917468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4BAE"/>
    <w:rsid w:val="009655D0"/>
    <w:rsid w:val="00970526"/>
    <w:rsid w:val="009738A6"/>
    <w:rsid w:val="009772A3"/>
    <w:rsid w:val="009865C1"/>
    <w:rsid w:val="00991517"/>
    <w:rsid w:val="00993FC6"/>
    <w:rsid w:val="009A10F0"/>
    <w:rsid w:val="009B1592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64CEC"/>
    <w:rsid w:val="00A747DB"/>
    <w:rsid w:val="00A77B20"/>
    <w:rsid w:val="00A832AA"/>
    <w:rsid w:val="00A876D8"/>
    <w:rsid w:val="00AB7D66"/>
    <w:rsid w:val="00AC024C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35F95"/>
    <w:rsid w:val="00B36808"/>
    <w:rsid w:val="00B422BC"/>
    <w:rsid w:val="00B5200C"/>
    <w:rsid w:val="00B57D00"/>
    <w:rsid w:val="00B65A03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BF3872"/>
    <w:rsid w:val="00C114AE"/>
    <w:rsid w:val="00C13191"/>
    <w:rsid w:val="00C161EE"/>
    <w:rsid w:val="00C302ED"/>
    <w:rsid w:val="00C30C05"/>
    <w:rsid w:val="00C31855"/>
    <w:rsid w:val="00C3631B"/>
    <w:rsid w:val="00C4396E"/>
    <w:rsid w:val="00C53CC1"/>
    <w:rsid w:val="00C55D6B"/>
    <w:rsid w:val="00C57057"/>
    <w:rsid w:val="00C623B7"/>
    <w:rsid w:val="00C72F5C"/>
    <w:rsid w:val="00C75DCA"/>
    <w:rsid w:val="00C7612F"/>
    <w:rsid w:val="00C80EFA"/>
    <w:rsid w:val="00C81A35"/>
    <w:rsid w:val="00C84FCA"/>
    <w:rsid w:val="00C9366B"/>
    <w:rsid w:val="00C95A83"/>
    <w:rsid w:val="00C97348"/>
    <w:rsid w:val="00CB1638"/>
    <w:rsid w:val="00CB21A5"/>
    <w:rsid w:val="00CB6905"/>
    <w:rsid w:val="00CC0115"/>
    <w:rsid w:val="00CD1881"/>
    <w:rsid w:val="00CD7E05"/>
    <w:rsid w:val="00CE10F1"/>
    <w:rsid w:val="00CE4DCC"/>
    <w:rsid w:val="00D0105B"/>
    <w:rsid w:val="00D11371"/>
    <w:rsid w:val="00D14C3A"/>
    <w:rsid w:val="00D14F8A"/>
    <w:rsid w:val="00D165B6"/>
    <w:rsid w:val="00D263CE"/>
    <w:rsid w:val="00D349CA"/>
    <w:rsid w:val="00D6104F"/>
    <w:rsid w:val="00D6786C"/>
    <w:rsid w:val="00D73F40"/>
    <w:rsid w:val="00D7569D"/>
    <w:rsid w:val="00D75F9B"/>
    <w:rsid w:val="00D8481F"/>
    <w:rsid w:val="00D93B77"/>
    <w:rsid w:val="00D94F15"/>
    <w:rsid w:val="00D974DE"/>
    <w:rsid w:val="00DA20A7"/>
    <w:rsid w:val="00DC23CE"/>
    <w:rsid w:val="00DC3AE4"/>
    <w:rsid w:val="00DF1E28"/>
    <w:rsid w:val="00E10E8D"/>
    <w:rsid w:val="00E124D6"/>
    <w:rsid w:val="00E32518"/>
    <w:rsid w:val="00E34D93"/>
    <w:rsid w:val="00E40A71"/>
    <w:rsid w:val="00E6073B"/>
    <w:rsid w:val="00E74834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60F7"/>
    <w:rsid w:val="00F15136"/>
    <w:rsid w:val="00F35B24"/>
    <w:rsid w:val="00F42489"/>
    <w:rsid w:val="00F43035"/>
    <w:rsid w:val="00F525F6"/>
    <w:rsid w:val="00F73735"/>
    <w:rsid w:val="00F772E4"/>
    <w:rsid w:val="00F854BC"/>
    <w:rsid w:val="00F8576F"/>
    <w:rsid w:val="00F873FD"/>
    <w:rsid w:val="00F92B8A"/>
    <w:rsid w:val="00F94AD6"/>
    <w:rsid w:val="00F94BF0"/>
    <w:rsid w:val="00F94CE0"/>
    <w:rsid w:val="00FA66BF"/>
    <w:rsid w:val="00FA7BE8"/>
    <w:rsid w:val="00FD0E04"/>
    <w:rsid w:val="00FD18FB"/>
    <w:rsid w:val="00FD7C86"/>
    <w:rsid w:val="00FF4FD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1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771</TotalTime>
  <Pages>3</Pages>
  <Words>1311</Words>
  <Characters>7473</Characters>
  <Application>Microsoft Macintosh Word</Application>
  <DocSecurity>0</DocSecurity>
  <Lines>62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9177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294</cp:revision>
  <cp:lastPrinted>2016-02-03T10:54:00Z</cp:lastPrinted>
  <dcterms:created xsi:type="dcterms:W3CDTF">2014-05-07T13:25:00Z</dcterms:created>
  <dcterms:modified xsi:type="dcterms:W3CDTF">2016-02-03T10:54:00Z</dcterms:modified>
</cp:coreProperties>
</file>