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09" w:type="dxa"/>
        <w:tblInd w:w="4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4"/>
        <w:gridCol w:w="3332"/>
        <w:gridCol w:w="2493"/>
      </w:tblGrid>
      <w:tr w:rsidR="00C12950" w14:paraId="4006D47A" w14:textId="77777777" w:rsidTr="00A029E7">
        <w:trPr>
          <w:trHeight w:val="540"/>
        </w:trPr>
        <w:tc>
          <w:tcPr>
            <w:tcW w:w="3184" w:type="dxa"/>
          </w:tcPr>
          <w:p w14:paraId="4A7DB992" w14:textId="6A1F3136" w:rsidR="00C12950" w:rsidRPr="00597D37" w:rsidRDefault="00A029E7" w:rsidP="00A029E7">
            <w:pPr>
              <w:tabs>
                <w:tab w:val="left" w:pos="-430"/>
              </w:tabs>
              <w:ind w:left="-4" w:right="212"/>
              <w:jc w:val="both"/>
              <w:rPr>
                <w:lang w:val="en-GB"/>
              </w:rPr>
            </w:pPr>
            <w:r>
              <w:rPr>
                <w:noProof/>
              </w:rPr>
              <w:drawing>
                <wp:inline distT="0" distB="0" distL="0" distR="0" wp14:anchorId="1E05D070" wp14:editId="7BBC2007">
                  <wp:extent cx="1865630" cy="438311"/>
                  <wp:effectExtent l="0" t="0" r="0" b="0"/>
                  <wp:docPr id="2" name="Immagine 2" descr="MacBook Pro HD:Users:lucarossetti:Desktop:ACIMALL new 2019:LOGO_ACIMALL senza bianc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MacBook Pro HD:Users:lucarossetti:Desktop:ACIMALL new 2019:LOGO_ACIMALL senza bianc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65630" cy="4383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332" w:type="dxa"/>
          </w:tcPr>
          <w:p w14:paraId="5444F25A" w14:textId="77777777" w:rsidR="00C12950" w:rsidRDefault="00C12950" w:rsidP="00A029E7">
            <w:pPr>
              <w:pStyle w:val="Titolo1"/>
              <w:ind w:right="212"/>
              <w:jc w:val="both"/>
              <w:rPr>
                <w:sz w:val="18"/>
              </w:rPr>
            </w:pPr>
            <w:r>
              <w:rPr>
                <w:sz w:val="18"/>
              </w:rPr>
              <w:t>Acimall</w:t>
            </w:r>
          </w:p>
          <w:p w14:paraId="74123824" w14:textId="77777777" w:rsidR="00C12950" w:rsidRDefault="00C12950" w:rsidP="00A029E7">
            <w:pPr>
              <w:ind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 xml:space="preserve">Centro Direzionale </w:t>
            </w:r>
            <w:proofErr w:type="spellStart"/>
            <w:r>
              <w:rPr>
                <w:rFonts w:ascii="Helvetica" w:hAnsi="Helvetica"/>
                <w:sz w:val="16"/>
              </w:rPr>
              <w:t>Milanofiori</w:t>
            </w:r>
            <w:proofErr w:type="spellEnd"/>
          </w:p>
          <w:p w14:paraId="7A00A7EC" w14:textId="77777777" w:rsidR="00C12950" w:rsidRDefault="00C12950" w:rsidP="00A029E7">
            <w:pPr>
              <w:ind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Strada</w:t>
            </w:r>
            <w:r w:rsidR="000C5C5F">
              <w:rPr>
                <w:rFonts w:ascii="Helvetica" w:hAnsi="Helvetica"/>
                <w:sz w:val="16"/>
              </w:rPr>
              <w:t xml:space="preserve"> 1</w:t>
            </w:r>
            <w:r>
              <w:rPr>
                <w:rFonts w:ascii="Helvetica" w:hAnsi="Helvetica"/>
                <w:sz w:val="16"/>
              </w:rPr>
              <w:t xml:space="preserve"> - Palazzo F3</w:t>
            </w:r>
          </w:p>
          <w:p w14:paraId="063709D7" w14:textId="77777777" w:rsidR="00C12950" w:rsidRDefault="00C12950" w:rsidP="00A029E7">
            <w:pPr>
              <w:ind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I-20090 Assago (Milano)</w:t>
            </w:r>
          </w:p>
          <w:p w14:paraId="08812F63" w14:textId="77777777" w:rsidR="00C12950" w:rsidRDefault="00C12950" w:rsidP="00A029E7">
            <w:pPr>
              <w:ind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phone +39 02 89210200</w:t>
            </w:r>
          </w:p>
          <w:p w14:paraId="5F0397DE" w14:textId="77777777" w:rsidR="00C12950" w:rsidRDefault="00C12950" w:rsidP="00A029E7">
            <w:pPr>
              <w:ind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fax +39 02 8259009</w:t>
            </w:r>
          </w:p>
          <w:p w14:paraId="27E6149D" w14:textId="77777777" w:rsidR="00C12950" w:rsidRDefault="00C12950" w:rsidP="00A029E7">
            <w:pPr>
              <w:ind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www.acimall.com</w:t>
            </w:r>
          </w:p>
          <w:p w14:paraId="40B19344" w14:textId="77777777" w:rsidR="00C12950" w:rsidRDefault="00C12950" w:rsidP="00A029E7">
            <w:pPr>
              <w:ind w:right="212"/>
              <w:jc w:val="both"/>
            </w:pPr>
            <w:r>
              <w:rPr>
                <w:rFonts w:ascii="Helvetica" w:hAnsi="Helvetica"/>
                <w:sz w:val="16"/>
              </w:rPr>
              <w:t>info@acimall.com</w:t>
            </w:r>
          </w:p>
        </w:tc>
        <w:tc>
          <w:tcPr>
            <w:tcW w:w="2493" w:type="dxa"/>
          </w:tcPr>
          <w:p w14:paraId="776B756F" w14:textId="1FC8E3B7" w:rsidR="00C12950" w:rsidRDefault="003D3CCC" w:rsidP="008E444A">
            <w:pPr>
              <w:ind w:left="-142" w:right="212"/>
              <w:jc w:val="right"/>
              <w:rPr>
                <w:rFonts w:ascii="Helvetica" w:hAnsi="Helvetica"/>
                <w:b/>
                <w:sz w:val="28"/>
              </w:rPr>
            </w:pPr>
            <w:r>
              <w:rPr>
                <w:rFonts w:ascii="Helvetica" w:hAnsi="Helvetica"/>
                <w:b/>
                <w:w w:val="108"/>
                <w:kern w:val="22"/>
                <w:sz w:val="28"/>
              </w:rPr>
              <w:t xml:space="preserve"> </w:t>
            </w:r>
            <w:r w:rsidR="00757DE8">
              <w:rPr>
                <w:rFonts w:ascii="Helvetica" w:hAnsi="Helvetica"/>
                <w:b/>
                <w:w w:val="108"/>
                <w:kern w:val="22"/>
                <w:sz w:val="28"/>
              </w:rPr>
              <w:t>press office</w:t>
            </w:r>
          </w:p>
          <w:p w14:paraId="70852C71" w14:textId="05BAB300" w:rsidR="00C12950" w:rsidRPr="0088052D" w:rsidRDefault="003A4C32" w:rsidP="00FD434E">
            <w:pPr>
              <w:ind w:left="-142" w:right="212"/>
              <w:jc w:val="right"/>
              <w:rPr>
                <w:rFonts w:ascii="Gill Sans MT" w:hAnsi="Gill Sans MT"/>
                <w:b/>
                <w:color w:val="000000" w:themeColor="text1"/>
                <w:sz w:val="14"/>
              </w:rPr>
            </w:pPr>
            <w:r>
              <w:rPr>
                <w:rFonts w:ascii="Helvetica" w:hAnsi="Helvetica"/>
                <w:color w:val="000000" w:themeColor="text1"/>
                <w:sz w:val="14"/>
              </w:rPr>
              <w:t xml:space="preserve">12 </w:t>
            </w:r>
            <w:proofErr w:type="spellStart"/>
            <w:r w:rsidR="00757DE8">
              <w:rPr>
                <w:rFonts w:ascii="Helvetica" w:hAnsi="Helvetica"/>
                <w:color w:val="000000" w:themeColor="text1"/>
                <w:sz w:val="14"/>
              </w:rPr>
              <w:t>October</w:t>
            </w:r>
            <w:proofErr w:type="spellEnd"/>
            <w:r w:rsidR="005D6F46" w:rsidRPr="0088052D">
              <w:rPr>
                <w:rFonts w:ascii="Helvetica" w:hAnsi="Helvetica"/>
                <w:color w:val="000000" w:themeColor="text1"/>
                <w:sz w:val="14"/>
              </w:rPr>
              <w:t xml:space="preserve"> 202</w:t>
            </w:r>
            <w:r w:rsidR="00D0397B" w:rsidRPr="0088052D">
              <w:rPr>
                <w:rFonts w:ascii="Helvetica" w:hAnsi="Helvetica"/>
                <w:color w:val="000000" w:themeColor="text1"/>
                <w:sz w:val="14"/>
              </w:rPr>
              <w:t>2</w:t>
            </w:r>
          </w:p>
        </w:tc>
      </w:tr>
    </w:tbl>
    <w:p w14:paraId="611215AC" w14:textId="77777777" w:rsidR="00C12950" w:rsidRDefault="00C12950" w:rsidP="00C12950">
      <w:pPr>
        <w:jc w:val="both"/>
        <w:rPr>
          <w:rFonts w:ascii="Arial" w:hAnsi="Arial"/>
          <w:sz w:val="20"/>
        </w:rPr>
      </w:pPr>
    </w:p>
    <w:p w14:paraId="0DD66105" w14:textId="77777777" w:rsidR="00C12950" w:rsidRPr="00B33B48" w:rsidRDefault="00C12950" w:rsidP="00B33B48">
      <w:pPr>
        <w:ind w:left="426"/>
        <w:jc w:val="both"/>
        <w:rPr>
          <w:rFonts w:ascii="Arial" w:hAnsi="Arial" w:cs="Arial"/>
          <w:sz w:val="20"/>
        </w:rPr>
      </w:pPr>
    </w:p>
    <w:p w14:paraId="302BE59F" w14:textId="77777777" w:rsidR="00BD4E9A" w:rsidRPr="00B33B48" w:rsidRDefault="00BD4E9A" w:rsidP="00B33B48">
      <w:pPr>
        <w:ind w:left="426"/>
        <w:jc w:val="both"/>
        <w:rPr>
          <w:rFonts w:ascii="Arial" w:hAnsi="Arial" w:cs="Arial"/>
          <w:b/>
          <w:sz w:val="20"/>
        </w:rPr>
      </w:pPr>
    </w:p>
    <w:p w14:paraId="4D7174C7" w14:textId="77777777" w:rsidR="001670C8" w:rsidRPr="00B33B48" w:rsidRDefault="001670C8" w:rsidP="00A76779">
      <w:pPr>
        <w:jc w:val="both"/>
        <w:rPr>
          <w:rFonts w:ascii="Arial" w:hAnsi="Arial" w:cs="Arial"/>
          <w:b/>
          <w:sz w:val="20"/>
        </w:rPr>
      </w:pPr>
    </w:p>
    <w:p w14:paraId="7C63C18B" w14:textId="7B77D3C5" w:rsidR="007E06BB" w:rsidRPr="00757DE8" w:rsidRDefault="00757DE8" w:rsidP="00757DE8">
      <w:pPr>
        <w:tabs>
          <w:tab w:val="left" w:pos="142"/>
        </w:tabs>
        <w:ind w:left="426"/>
        <w:jc w:val="both"/>
        <w:rPr>
          <w:rFonts w:ascii="Arial" w:hAnsi="Arial" w:cs="Arial"/>
          <w:b/>
          <w:color w:val="000000" w:themeColor="text1"/>
          <w:sz w:val="20"/>
        </w:rPr>
      </w:pPr>
      <w:r w:rsidRPr="00EA6F19">
        <w:rPr>
          <w:rFonts w:ascii="Arial" w:hAnsi="Arial" w:cs="Arial"/>
          <w:b/>
          <w:sz w:val="20"/>
          <w:lang w:val="en-US"/>
        </w:rPr>
        <w:t>TECHNOLOGY FOR WOODWORKING AND THE FURNITURE INDUSTRY</w:t>
      </w:r>
    </w:p>
    <w:p w14:paraId="6EA9B94D" w14:textId="77777777" w:rsidR="001670C8" w:rsidRPr="008F4FEF" w:rsidRDefault="001670C8" w:rsidP="008F4FEF">
      <w:pPr>
        <w:tabs>
          <w:tab w:val="left" w:pos="142"/>
        </w:tabs>
        <w:ind w:left="426"/>
        <w:jc w:val="both"/>
        <w:rPr>
          <w:rFonts w:ascii="Arial" w:hAnsi="Arial" w:cs="Arial"/>
          <w:b/>
          <w:color w:val="000000" w:themeColor="text1"/>
          <w:sz w:val="20"/>
        </w:rPr>
      </w:pPr>
    </w:p>
    <w:p w14:paraId="734D89D4" w14:textId="77777777" w:rsidR="00EF3187" w:rsidRPr="005D6F46" w:rsidRDefault="00EF3187" w:rsidP="000A33AA">
      <w:pPr>
        <w:tabs>
          <w:tab w:val="left" w:pos="142"/>
          <w:tab w:val="left" w:pos="426"/>
        </w:tabs>
        <w:jc w:val="both"/>
        <w:rPr>
          <w:rFonts w:ascii="Arial" w:hAnsi="Arial" w:cs="Arial"/>
          <w:b/>
          <w:color w:val="000000" w:themeColor="text1"/>
          <w:sz w:val="20"/>
        </w:rPr>
      </w:pPr>
    </w:p>
    <w:p w14:paraId="64AE4EB5" w14:textId="38691A30" w:rsidR="002A632E" w:rsidRPr="00757DE8" w:rsidRDefault="00757DE8" w:rsidP="00757DE8">
      <w:pPr>
        <w:tabs>
          <w:tab w:val="left" w:pos="426"/>
        </w:tabs>
        <w:ind w:left="426"/>
        <w:rPr>
          <w:rFonts w:ascii="Arial" w:hAnsi="Arial" w:cs="Arial"/>
          <w:color w:val="000000" w:themeColor="text1"/>
          <w:sz w:val="20"/>
        </w:rPr>
      </w:pPr>
      <w:r w:rsidRPr="00EA6F19">
        <w:rPr>
          <w:rFonts w:ascii="Arial" w:hAnsi="Arial" w:cs="Arial"/>
          <w:sz w:val="20"/>
          <w:lang w:val="en-US"/>
        </w:rPr>
        <w:t xml:space="preserve">The year </w:t>
      </w:r>
      <w:r w:rsidRPr="00EA6F19">
        <w:rPr>
          <w:rFonts w:ascii="Arial" w:hAnsi="Arial" w:cs="Arial"/>
          <w:b/>
          <w:sz w:val="20"/>
          <w:lang w:val="en-US"/>
        </w:rPr>
        <w:t>2021</w:t>
      </w:r>
      <w:r w:rsidRPr="00EA6F19">
        <w:rPr>
          <w:rFonts w:ascii="Arial" w:hAnsi="Arial" w:cs="Arial"/>
          <w:sz w:val="20"/>
          <w:lang w:val="en-US"/>
        </w:rPr>
        <w:t xml:space="preserve"> was </w:t>
      </w:r>
      <w:proofErr w:type="gramStart"/>
      <w:r w:rsidRPr="00EA6F19">
        <w:rPr>
          <w:rFonts w:ascii="Arial" w:hAnsi="Arial" w:cs="Arial"/>
          <w:b/>
          <w:bCs/>
          <w:sz w:val="20"/>
          <w:lang w:val="en-US"/>
        </w:rPr>
        <w:t>really positive</w:t>
      </w:r>
      <w:proofErr w:type="gramEnd"/>
      <w:r w:rsidRPr="00EA6F19">
        <w:rPr>
          <w:rFonts w:ascii="Arial" w:hAnsi="Arial" w:cs="Arial"/>
          <w:sz w:val="20"/>
          <w:lang w:val="en-US"/>
        </w:rPr>
        <w:t>.</w:t>
      </w:r>
      <w:r w:rsidR="002A632E" w:rsidRPr="00757DE8">
        <w:rPr>
          <w:rFonts w:ascii="Arial" w:hAnsi="Arial" w:cs="Arial"/>
          <w:color w:val="000000" w:themeColor="text1"/>
          <w:sz w:val="20"/>
        </w:rPr>
        <w:t xml:space="preserve"> </w:t>
      </w:r>
      <w:r w:rsidRPr="00EA6F19">
        <w:rPr>
          <w:rFonts w:ascii="Arial" w:hAnsi="Arial" w:cs="Arial"/>
          <w:sz w:val="20"/>
          <w:lang w:val="en-US"/>
        </w:rPr>
        <w:t xml:space="preserve">This trend was reaffirmed by the Studies Office of Acimall, the association of Italian manufacturers of wood and furniture technology: </w:t>
      </w:r>
      <w:r w:rsidRPr="00EA6F19">
        <w:rPr>
          <w:rFonts w:ascii="Arial" w:hAnsi="Arial" w:cs="Arial"/>
          <w:b/>
          <w:bCs/>
          <w:sz w:val="20"/>
          <w:lang w:val="en-US"/>
        </w:rPr>
        <w:t>production</w:t>
      </w:r>
      <w:r w:rsidRPr="00EA6F19">
        <w:rPr>
          <w:rFonts w:ascii="Arial" w:hAnsi="Arial" w:cs="Arial"/>
          <w:sz w:val="20"/>
          <w:lang w:val="en-US"/>
        </w:rPr>
        <w:t xml:space="preserve"> amounted to 2,530 million euro, up by 36.9 percent compared to </w:t>
      </w:r>
      <w:r w:rsidRPr="00EA6F19">
        <w:rPr>
          <w:rFonts w:ascii="Arial" w:hAnsi="Arial" w:cs="Arial"/>
          <w:b/>
          <w:sz w:val="20"/>
          <w:lang w:val="en-US"/>
        </w:rPr>
        <w:t>2020</w:t>
      </w:r>
      <w:r w:rsidRPr="00EA6F19">
        <w:rPr>
          <w:rFonts w:ascii="Arial" w:hAnsi="Arial" w:cs="Arial"/>
          <w:sz w:val="20"/>
          <w:lang w:val="en-US"/>
        </w:rPr>
        <w:t xml:space="preserve">, a year we would like to forget for many reasons, not only economic, and by 11.6 percent versus </w:t>
      </w:r>
      <w:r w:rsidRPr="00EA6F19">
        <w:rPr>
          <w:rFonts w:ascii="Arial" w:hAnsi="Arial" w:cs="Arial"/>
          <w:b/>
          <w:bCs/>
          <w:sz w:val="20"/>
          <w:lang w:val="en-US"/>
        </w:rPr>
        <w:t>2019</w:t>
      </w:r>
      <w:r w:rsidRPr="00EA6F19">
        <w:rPr>
          <w:rFonts w:ascii="Arial" w:hAnsi="Arial" w:cs="Arial"/>
          <w:sz w:val="20"/>
          <w:lang w:val="en-US"/>
        </w:rPr>
        <w:t>.</w:t>
      </w:r>
    </w:p>
    <w:p w14:paraId="2F39544A" w14:textId="5210352C" w:rsidR="002A632E" w:rsidRPr="00757DE8" w:rsidRDefault="00757DE8" w:rsidP="00757DE8">
      <w:pPr>
        <w:tabs>
          <w:tab w:val="left" w:pos="426"/>
        </w:tabs>
        <w:ind w:left="426"/>
        <w:rPr>
          <w:rFonts w:ascii="Arial" w:hAnsi="Arial" w:cs="Arial"/>
          <w:color w:val="000000" w:themeColor="text1"/>
          <w:sz w:val="20"/>
        </w:rPr>
      </w:pPr>
      <w:r w:rsidRPr="00EA6F19">
        <w:rPr>
          <w:rFonts w:ascii="Arial" w:hAnsi="Arial" w:cs="Arial"/>
          <w:sz w:val="20"/>
          <w:lang w:val="en-US"/>
        </w:rPr>
        <w:t xml:space="preserve">Excellent results also for </w:t>
      </w:r>
      <w:r w:rsidRPr="00EA6F19">
        <w:rPr>
          <w:rFonts w:ascii="Arial" w:hAnsi="Arial" w:cs="Arial"/>
          <w:b/>
          <w:bCs/>
          <w:sz w:val="20"/>
          <w:lang w:val="en-US"/>
        </w:rPr>
        <w:t>export</w:t>
      </w:r>
      <w:r w:rsidRPr="00EA6F19">
        <w:rPr>
          <w:rFonts w:ascii="Arial" w:hAnsi="Arial" w:cs="Arial"/>
          <w:sz w:val="20"/>
          <w:lang w:val="en-US"/>
        </w:rPr>
        <w:t xml:space="preserve">, reaching 1,740 million euro (plus 30.8 percent over 2020; </w:t>
      </w:r>
      <w:proofErr w:type="gramStart"/>
      <w:r w:rsidRPr="00EA6F19">
        <w:rPr>
          <w:rFonts w:ascii="Arial" w:hAnsi="Arial" w:cs="Arial"/>
          <w:sz w:val="20"/>
          <w:lang w:val="en-US"/>
        </w:rPr>
        <w:t>plus</w:t>
      </w:r>
      <w:proofErr w:type="gramEnd"/>
      <w:r w:rsidRPr="00EA6F19">
        <w:rPr>
          <w:rFonts w:ascii="Arial" w:hAnsi="Arial" w:cs="Arial"/>
          <w:sz w:val="20"/>
          <w:lang w:val="en-US"/>
        </w:rPr>
        <w:t xml:space="preserve"> 10.1 percent over 2019), with a </w:t>
      </w:r>
      <w:r w:rsidRPr="00EA6F19">
        <w:rPr>
          <w:rFonts w:ascii="Arial" w:hAnsi="Arial" w:cs="Arial"/>
          <w:b/>
          <w:bCs/>
          <w:sz w:val="20"/>
          <w:lang w:val="en-US"/>
        </w:rPr>
        <w:t>domestic market</w:t>
      </w:r>
      <w:r w:rsidRPr="00EA6F19">
        <w:rPr>
          <w:rFonts w:ascii="Arial" w:hAnsi="Arial" w:cs="Arial"/>
          <w:sz w:val="20"/>
          <w:lang w:val="en-US"/>
        </w:rPr>
        <w:t xml:space="preserve"> showing tangible signs of liveliness (790 million euro, up by 52.5 percent over 2020 and 15.1 percent over 2019).</w:t>
      </w:r>
    </w:p>
    <w:p w14:paraId="62273677" w14:textId="0AFA393B" w:rsidR="002A632E" w:rsidRPr="00757DE8" w:rsidRDefault="00757DE8" w:rsidP="00757DE8">
      <w:pPr>
        <w:tabs>
          <w:tab w:val="left" w:pos="426"/>
        </w:tabs>
        <w:ind w:left="426"/>
        <w:rPr>
          <w:rFonts w:ascii="Arial" w:hAnsi="Arial" w:cs="Arial"/>
          <w:color w:val="000000" w:themeColor="text1"/>
          <w:sz w:val="20"/>
        </w:rPr>
      </w:pPr>
      <w:r w:rsidRPr="00EA6F19">
        <w:rPr>
          <w:rFonts w:ascii="Arial" w:hAnsi="Arial" w:cs="Arial"/>
          <w:b/>
          <w:bCs/>
          <w:sz w:val="20"/>
          <w:lang w:val="en-US"/>
        </w:rPr>
        <w:t>Import</w:t>
      </w:r>
      <w:r w:rsidRPr="00EA6F19">
        <w:rPr>
          <w:rFonts w:ascii="Arial" w:hAnsi="Arial" w:cs="Arial"/>
          <w:sz w:val="20"/>
          <w:lang w:val="en-US"/>
        </w:rPr>
        <w:t xml:space="preserve"> also increased in 2021, reaching 244 million euros, 59.4 percent more than in 2020 and 21.4 percent more than in 2019.</w:t>
      </w:r>
    </w:p>
    <w:p w14:paraId="616486EA" w14:textId="0205A05A" w:rsidR="00DF2A1E" w:rsidRPr="00757DE8" w:rsidRDefault="00757DE8" w:rsidP="00757DE8">
      <w:pPr>
        <w:tabs>
          <w:tab w:val="left" w:pos="426"/>
        </w:tabs>
        <w:ind w:left="426"/>
        <w:rPr>
          <w:rFonts w:ascii="Arial" w:hAnsi="Arial" w:cs="Arial"/>
          <w:color w:val="000000" w:themeColor="text1"/>
          <w:sz w:val="20"/>
        </w:rPr>
      </w:pPr>
      <w:r w:rsidRPr="00EA6F19">
        <w:rPr>
          <w:rFonts w:ascii="Arial" w:hAnsi="Arial" w:cs="Arial"/>
          <w:sz w:val="20"/>
          <w:lang w:val="en-US"/>
        </w:rPr>
        <w:t xml:space="preserve">As usual, driven by the strong propensity to export of Italian companies, the </w:t>
      </w:r>
      <w:r w:rsidRPr="00EA6F19">
        <w:rPr>
          <w:rFonts w:ascii="Arial" w:hAnsi="Arial" w:cs="Arial"/>
          <w:b/>
          <w:bCs/>
          <w:sz w:val="20"/>
          <w:lang w:val="en-US"/>
        </w:rPr>
        <w:t>trade balance</w:t>
      </w:r>
      <w:r w:rsidRPr="00EA6F19">
        <w:rPr>
          <w:rFonts w:ascii="Arial" w:hAnsi="Arial" w:cs="Arial"/>
          <w:sz w:val="20"/>
          <w:lang w:val="en-US"/>
        </w:rPr>
        <w:t xml:space="preserve"> was also positive, with a value of 1,496 million euro (plus 27.1 percent over 2020, plus 8.5 percent over 2019).</w:t>
      </w:r>
      <w:r w:rsidR="00FD434E" w:rsidRPr="00757DE8">
        <w:rPr>
          <w:rFonts w:ascii="Arial" w:hAnsi="Arial" w:cs="Arial"/>
          <w:color w:val="000000" w:themeColor="text1"/>
          <w:sz w:val="20"/>
        </w:rPr>
        <w:t xml:space="preserve"> </w:t>
      </w:r>
      <w:r w:rsidRPr="00EA6F19">
        <w:rPr>
          <w:rFonts w:ascii="Arial" w:hAnsi="Arial" w:cs="Arial"/>
          <w:b/>
          <w:bCs/>
          <w:sz w:val="20"/>
          <w:lang w:val="en-US"/>
        </w:rPr>
        <w:t>Apparent consumption</w:t>
      </w:r>
      <w:r w:rsidRPr="00EA6F19">
        <w:rPr>
          <w:rFonts w:ascii="Arial" w:hAnsi="Arial" w:cs="Arial"/>
          <w:sz w:val="20"/>
          <w:lang w:val="en-US"/>
        </w:rPr>
        <w:t xml:space="preserve"> also increased:</w:t>
      </w:r>
      <w:r w:rsidR="00DF2A1E" w:rsidRPr="00757DE8">
        <w:rPr>
          <w:rFonts w:ascii="Arial" w:hAnsi="Arial" w:cs="Arial"/>
          <w:color w:val="000000" w:themeColor="text1"/>
          <w:sz w:val="20"/>
        </w:rPr>
        <w:t xml:space="preserve"> </w:t>
      </w:r>
      <w:r w:rsidRPr="00EA6F19">
        <w:rPr>
          <w:rFonts w:ascii="Arial" w:hAnsi="Arial" w:cs="Arial"/>
          <w:sz w:val="20"/>
          <w:lang w:val="en-US"/>
        </w:rPr>
        <w:t>1,034 million euro, up by 54.1 percent over 2020 and 16.5 percent over 2019.</w:t>
      </w:r>
    </w:p>
    <w:p w14:paraId="3C7D5527" w14:textId="2F3887B2" w:rsidR="003A4C32" w:rsidRDefault="003A4C32" w:rsidP="00FD434E">
      <w:pPr>
        <w:tabs>
          <w:tab w:val="left" w:pos="426"/>
        </w:tabs>
        <w:ind w:left="426"/>
        <w:rPr>
          <w:rFonts w:ascii="Arial" w:hAnsi="Arial" w:cs="Arial"/>
          <w:color w:val="000000" w:themeColor="text1"/>
          <w:sz w:val="20"/>
        </w:rPr>
      </w:pPr>
    </w:p>
    <w:p w14:paraId="24C36028" w14:textId="6FAB65EA" w:rsidR="00720B7D" w:rsidRPr="00757DE8" w:rsidRDefault="00757DE8" w:rsidP="00757DE8">
      <w:pPr>
        <w:tabs>
          <w:tab w:val="left" w:pos="426"/>
        </w:tabs>
        <w:ind w:left="426"/>
        <w:rPr>
          <w:rFonts w:ascii="Arial" w:hAnsi="Arial" w:cs="Arial"/>
          <w:color w:val="000000" w:themeColor="text1"/>
          <w:sz w:val="20"/>
        </w:rPr>
      </w:pPr>
      <w:r w:rsidRPr="00EA6F19">
        <w:rPr>
          <w:rFonts w:ascii="Arial" w:hAnsi="Arial" w:cs="Arial"/>
          <w:sz w:val="20"/>
          <w:lang w:val="en-US"/>
        </w:rPr>
        <w:t>These positive and reassuring figures indicate that the technology industry has overcome the serious difficulties of the pandemic period – unfortunately still fixed in our memories – going back to pre-Covid levels.</w:t>
      </w:r>
      <w:r w:rsidR="003A4C32" w:rsidRPr="00757DE8">
        <w:rPr>
          <w:rFonts w:ascii="Arial" w:hAnsi="Arial" w:cs="Arial"/>
          <w:color w:val="000000" w:themeColor="text1"/>
          <w:sz w:val="20"/>
        </w:rPr>
        <w:t xml:space="preserve"> </w:t>
      </w:r>
      <w:r w:rsidRPr="00EA6F19">
        <w:rPr>
          <w:rFonts w:ascii="Arial" w:hAnsi="Arial" w:cs="Arial"/>
          <w:sz w:val="20"/>
          <w:lang w:val="en-US"/>
        </w:rPr>
        <w:t xml:space="preserve">Such growth has been driven by several measures, </w:t>
      </w:r>
      <w:r w:rsidRPr="00EA6F19">
        <w:rPr>
          <w:rFonts w:ascii="Arial" w:hAnsi="Arial" w:cs="Arial"/>
          <w:b/>
          <w:bCs/>
          <w:sz w:val="20"/>
          <w:lang w:val="en-US"/>
        </w:rPr>
        <w:t>incentives</w:t>
      </w:r>
      <w:r w:rsidRPr="00EA6F19">
        <w:rPr>
          <w:rFonts w:ascii="Arial" w:hAnsi="Arial" w:cs="Arial"/>
          <w:sz w:val="20"/>
          <w:lang w:val="en-US"/>
        </w:rPr>
        <w:t xml:space="preserve"> and different types of public subsidies introduced by many countries, which caused a </w:t>
      </w:r>
      <w:r w:rsidRPr="00EA6F19">
        <w:rPr>
          <w:rFonts w:ascii="Arial" w:hAnsi="Arial" w:cs="Arial"/>
          <w:b/>
          <w:bCs/>
          <w:sz w:val="20"/>
          <w:lang w:val="en-US"/>
        </w:rPr>
        <w:t>concentration</w:t>
      </w:r>
      <w:r w:rsidRPr="00EA6F19">
        <w:rPr>
          <w:rFonts w:ascii="Arial" w:hAnsi="Arial" w:cs="Arial"/>
          <w:sz w:val="20"/>
          <w:lang w:val="en-US"/>
        </w:rPr>
        <w:t xml:space="preserve"> of investment decisions that amplified the </w:t>
      </w:r>
      <w:r w:rsidRPr="00EA6F19">
        <w:rPr>
          <w:rFonts w:ascii="Arial" w:hAnsi="Arial" w:cs="Arial"/>
          <w:b/>
          <w:bCs/>
          <w:sz w:val="20"/>
          <w:lang w:val="en-US"/>
        </w:rPr>
        <w:t>structural rally of demand</w:t>
      </w:r>
      <w:r w:rsidRPr="00EA6F19">
        <w:rPr>
          <w:rFonts w:ascii="Arial" w:hAnsi="Arial" w:cs="Arial"/>
          <w:sz w:val="20"/>
          <w:lang w:val="en-US"/>
        </w:rPr>
        <w:t>.</w:t>
      </w:r>
    </w:p>
    <w:p w14:paraId="520F94CD" w14:textId="3ACC5D21" w:rsidR="007678C6" w:rsidRDefault="007678C6" w:rsidP="003A4C32">
      <w:pPr>
        <w:tabs>
          <w:tab w:val="left" w:pos="426"/>
        </w:tabs>
        <w:ind w:left="426"/>
        <w:rPr>
          <w:rFonts w:ascii="Arial" w:hAnsi="Arial" w:cs="Arial"/>
          <w:color w:val="000000" w:themeColor="text1"/>
          <w:sz w:val="20"/>
        </w:rPr>
      </w:pPr>
    </w:p>
    <w:p w14:paraId="4D1DA0F7" w14:textId="5F201AF3" w:rsidR="007678C6" w:rsidRPr="00757DE8" w:rsidRDefault="00757DE8" w:rsidP="00757DE8">
      <w:pPr>
        <w:tabs>
          <w:tab w:val="left" w:pos="426"/>
        </w:tabs>
        <w:ind w:left="426"/>
        <w:rPr>
          <w:rFonts w:ascii="Arial" w:hAnsi="Arial" w:cs="Arial"/>
          <w:color w:val="000000" w:themeColor="text1"/>
          <w:sz w:val="20"/>
        </w:rPr>
      </w:pPr>
      <w:r w:rsidRPr="00EA6F19">
        <w:rPr>
          <w:rFonts w:ascii="Arial" w:hAnsi="Arial" w:cs="Arial"/>
          <w:sz w:val="20"/>
          <w:lang w:val="en-US"/>
        </w:rPr>
        <w:t>THE YEAR 2022</w:t>
      </w:r>
    </w:p>
    <w:p w14:paraId="2C734B15" w14:textId="01183326" w:rsidR="00623BEE" w:rsidRPr="007F6A33" w:rsidRDefault="007F6A33" w:rsidP="007F6A33">
      <w:pPr>
        <w:tabs>
          <w:tab w:val="left" w:pos="426"/>
        </w:tabs>
        <w:ind w:left="426"/>
        <w:rPr>
          <w:rFonts w:ascii="Arial" w:hAnsi="Arial" w:cs="Arial"/>
          <w:color w:val="000000" w:themeColor="text1"/>
          <w:sz w:val="20"/>
        </w:rPr>
      </w:pPr>
      <w:r w:rsidRPr="00EA6F19">
        <w:rPr>
          <w:rFonts w:ascii="Arial" w:hAnsi="Arial" w:cs="Arial"/>
          <w:sz w:val="20"/>
          <w:lang w:val="en-US"/>
        </w:rPr>
        <w:t xml:space="preserve">The early months of this year were </w:t>
      </w:r>
      <w:proofErr w:type="gramStart"/>
      <w:r w:rsidRPr="00EA6F19">
        <w:rPr>
          <w:rFonts w:ascii="Arial" w:hAnsi="Arial" w:cs="Arial"/>
          <w:sz w:val="20"/>
          <w:lang w:val="en-US"/>
        </w:rPr>
        <w:t>really positive</w:t>
      </w:r>
      <w:proofErr w:type="gramEnd"/>
      <w:r w:rsidRPr="00EA6F19">
        <w:rPr>
          <w:rFonts w:ascii="Arial" w:hAnsi="Arial" w:cs="Arial"/>
          <w:sz w:val="20"/>
          <w:lang w:val="en-US"/>
        </w:rPr>
        <w:t xml:space="preserve"> for many international markets, recording double-digit growth of orders and revenues.</w:t>
      </w:r>
      <w:r w:rsidR="004C6D07" w:rsidRPr="007F6A33">
        <w:rPr>
          <w:rFonts w:ascii="Arial" w:hAnsi="Arial" w:cs="Arial"/>
          <w:color w:val="000000" w:themeColor="text1"/>
          <w:sz w:val="20"/>
        </w:rPr>
        <w:t xml:space="preserve"> </w:t>
      </w:r>
      <w:r w:rsidRPr="00EA6F19">
        <w:rPr>
          <w:rFonts w:ascii="Arial" w:hAnsi="Arial" w:cs="Arial"/>
          <w:sz w:val="20"/>
          <w:lang w:val="en-US"/>
        </w:rPr>
        <w:t>Such trends supported widespread optimism among market players, reaffirming the trends of the previous twelve months.</w:t>
      </w:r>
    </w:p>
    <w:p w14:paraId="15E45362" w14:textId="1D789D67" w:rsidR="0073342A" w:rsidRPr="007F6A33" w:rsidRDefault="007F6A33" w:rsidP="007F6A33">
      <w:pPr>
        <w:tabs>
          <w:tab w:val="left" w:pos="426"/>
        </w:tabs>
        <w:ind w:left="426"/>
        <w:rPr>
          <w:rFonts w:ascii="Arial" w:hAnsi="Arial" w:cs="Arial"/>
          <w:color w:val="000000" w:themeColor="text1"/>
          <w:sz w:val="20"/>
        </w:rPr>
      </w:pPr>
      <w:r w:rsidRPr="00EA6F19">
        <w:rPr>
          <w:rFonts w:ascii="Arial" w:hAnsi="Arial" w:cs="Arial"/>
          <w:sz w:val="20"/>
          <w:lang w:val="en-US"/>
        </w:rPr>
        <w:t xml:space="preserve">However, industry operators and international observers are not underestimating the clouds building up on the horizon, </w:t>
      </w:r>
      <w:proofErr w:type="gramStart"/>
      <w:r w:rsidRPr="00EA6F19">
        <w:rPr>
          <w:rFonts w:ascii="Arial" w:hAnsi="Arial" w:cs="Arial"/>
          <w:sz w:val="20"/>
          <w:lang w:val="en-US"/>
        </w:rPr>
        <w:t>first of all</w:t>
      </w:r>
      <w:proofErr w:type="gramEnd"/>
      <w:r w:rsidRPr="00EA6F19">
        <w:rPr>
          <w:rFonts w:ascii="Arial" w:hAnsi="Arial" w:cs="Arial"/>
          <w:sz w:val="20"/>
          <w:lang w:val="en-US"/>
        </w:rPr>
        <w:t xml:space="preserve"> the difficult provisioning of raw materials and components, a </w:t>
      </w:r>
      <w:r w:rsidRPr="00EA6F19">
        <w:rPr>
          <w:rFonts w:ascii="Arial" w:hAnsi="Arial" w:cs="Arial"/>
          <w:b/>
          <w:bCs/>
          <w:sz w:val="20"/>
          <w:lang w:val="en-US"/>
        </w:rPr>
        <w:t>“hunger” for supplies</w:t>
      </w:r>
      <w:r w:rsidRPr="00EA6F19">
        <w:rPr>
          <w:rFonts w:ascii="Arial" w:hAnsi="Arial" w:cs="Arial"/>
          <w:sz w:val="20"/>
          <w:lang w:val="en-US"/>
        </w:rPr>
        <w:t xml:space="preserve"> that has driven many companies to make important decisions, acquiring suppliers, searching for alternative sources, or simply filling up their stocks.</w:t>
      </w:r>
    </w:p>
    <w:p w14:paraId="0C129A3D" w14:textId="58B2BE94" w:rsidR="004C6D07" w:rsidRDefault="007F6A33" w:rsidP="007F6A33">
      <w:pPr>
        <w:tabs>
          <w:tab w:val="left" w:pos="426"/>
        </w:tabs>
        <w:ind w:left="426"/>
        <w:rPr>
          <w:rFonts w:ascii="Arial" w:hAnsi="Arial" w:cs="Arial"/>
          <w:color w:val="000000" w:themeColor="text1"/>
          <w:sz w:val="20"/>
        </w:rPr>
      </w:pPr>
      <w:r w:rsidRPr="00EA6F19">
        <w:rPr>
          <w:rFonts w:ascii="Arial" w:hAnsi="Arial" w:cs="Arial"/>
          <w:sz w:val="20"/>
          <w:lang w:val="en-US"/>
        </w:rPr>
        <w:t xml:space="preserve">The impact on </w:t>
      </w:r>
      <w:r w:rsidRPr="00EA6F19">
        <w:rPr>
          <w:rFonts w:ascii="Arial" w:hAnsi="Arial" w:cs="Arial"/>
          <w:b/>
          <w:bCs/>
          <w:sz w:val="20"/>
          <w:lang w:val="en-US"/>
        </w:rPr>
        <w:t>price increases</w:t>
      </w:r>
      <w:r w:rsidRPr="00EA6F19">
        <w:rPr>
          <w:rFonts w:ascii="Arial" w:hAnsi="Arial" w:cs="Arial"/>
          <w:sz w:val="20"/>
          <w:lang w:val="en-US"/>
        </w:rPr>
        <w:t>, still very lively, was an immediate consequence.</w:t>
      </w:r>
      <w:r w:rsidR="004C6D07" w:rsidRPr="007F6A33">
        <w:rPr>
          <w:rFonts w:ascii="Arial" w:hAnsi="Arial" w:cs="Arial"/>
          <w:color w:val="000000" w:themeColor="text1"/>
          <w:sz w:val="20"/>
        </w:rPr>
        <w:t xml:space="preserve"> </w:t>
      </w:r>
    </w:p>
    <w:p w14:paraId="3DD6F742" w14:textId="39B56158" w:rsidR="00132B8E" w:rsidRPr="007F6A33" w:rsidRDefault="007F6A33" w:rsidP="007F6A33">
      <w:pPr>
        <w:tabs>
          <w:tab w:val="left" w:pos="426"/>
        </w:tabs>
        <w:ind w:left="426"/>
        <w:rPr>
          <w:rFonts w:ascii="Arial" w:hAnsi="Arial" w:cs="Arial"/>
          <w:color w:val="000000" w:themeColor="text1"/>
          <w:sz w:val="20"/>
        </w:rPr>
      </w:pPr>
      <w:r w:rsidRPr="00EA6F19">
        <w:rPr>
          <w:rFonts w:ascii="Arial" w:hAnsi="Arial" w:cs="Arial"/>
          <w:sz w:val="20"/>
          <w:lang w:val="en-US"/>
        </w:rPr>
        <w:t>Further critical factors are the enduring sanitary crisis, the closure of some markets for pandemic or war reasons, the devastating impact on energy costs: all these elements have caused analysts to be very cautious in their estimates for 2022.</w:t>
      </w:r>
      <w:r w:rsidR="00A935F9" w:rsidRPr="007F6A33">
        <w:rPr>
          <w:rFonts w:ascii="Arial" w:hAnsi="Arial" w:cs="Arial"/>
          <w:color w:val="000000" w:themeColor="text1"/>
          <w:sz w:val="20"/>
        </w:rPr>
        <w:t xml:space="preserve"> </w:t>
      </w:r>
      <w:r w:rsidRPr="00EA6F19">
        <w:rPr>
          <w:rFonts w:ascii="Arial" w:hAnsi="Arial" w:cs="Arial"/>
          <w:sz w:val="20"/>
          <w:lang w:val="en-US"/>
        </w:rPr>
        <w:t>The surveys for the second half of 2022 have revealed contradictory visions, but the overall sentiment indicates that the April-June period will not be remembered as one of the happiest seasons.</w:t>
      </w:r>
    </w:p>
    <w:p w14:paraId="3204FB7F" w14:textId="043105D1" w:rsidR="00A935F9" w:rsidRDefault="00A935F9" w:rsidP="003A4C32">
      <w:pPr>
        <w:tabs>
          <w:tab w:val="left" w:pos="426"/>
        </w:tabs>
        <w:ind w:left="426"/>
        <w:rPr>
          <w:rFonts w:ascii="Arial" w:hAnsi="Arial" w:cs="Arial"/>
          <w:color w:val="000000" w:themeColor="text1"/>
          <w:sz w:val="20"/>
        </w:rPr>
      </w:pPr>
    </w:p>
    <w:p w14:paraId="429E6F30" w14:textId="62F8D35B" w:rsidR="00DF2A1E" w:rsidRPr="007F6A33" w:rsidRDefault="007F6A33" w:rsidP="007F6A33">
      <w:pPr>
        <w:tabs>
          <w:tab w:val="left" w:pos="426"/>
        </w:tabs>
        <w:ind w:left="426"/>
        <w:rPr>
          <w:rFonts w:ascii="Arial" w:hAnsi="Arial" w:cs="Arial"/>
          <w:color w:val="000000" w:themeColor="text1"/>
          <w:sz w:val="20"/>
        </w:rPr>
      </w:pPr>
      <w:r w:rsidRPr="00EA6F19">
        <w:rPr>
          <w:rFonts w:ascii="Arial" w:hAnsi="Arial" w:cs="Arial"/>
          <w:sz w:val="20"/>
          <w:lang w:val="en-US"/>
        </w:rPr>
        <w:t xml:space="preserve">The new calendar of </w:t>
      </w:r>
      <w:r w:rsidRPr="00EA6F19">
        <w:rPr>
          <w:rFonts w:ascii="Arial" w:hAnsi="Arial" w:cs="Arial"/>
          <w:b/>
          <w:bCs/>
          <w:sz w:val="20"/>
          <w:lang w:val="en-US"/>
        </w:rPr>
        <w:t>Xylexpo in October</w:t>
      </w:r>
      <w:r w:rsidRPr="00EA6F19">
        <w:rPr>
          <w:rFonts w:ascii="Arial" w:hAnsi="Arial" w:cs="Arial"/>
          <w:sz w:val="20"/>
          <w:lang w:val="en-US"/>
        </w:rPr>
        <w:t xml:space="preserve"> is a great opportunity to try and draw a balance for this year: "in person" meetings at one of the key events in the international exhibition calendar will certainly give a more reliable picture of 2022 and help industry operators anticipate the end-of-year results.</w:t>
      </w:r>
    </w:p>
    <w:p w14:paraId="56F081CD" w14:textId="77777777" w:rsidR="002A632E" w:rsidRPr="00FD434E" w:rsidRDefault="002A632E" w:rsidP="005D6F46">
      <w:pPr>
        <w:tabs>
          <w:tab w:val="left" w:pos="426"/>
        </w:tabs>
        <w:ind w:left="426"/>
        <w:rPr>
          <w:rFonts w:ascii="Arial" w:hAnsi="Arial" w:cs="Arial"/>
          <w:sz w:val="20"/>
        </w:rPr>
      </w:pPr>
    </w:p>
    <w:p w14:paraId="58DBF268" w14:textId="77777777" w:rsidR="00FD434E" w:rsidRDefault="00FD434E" w:rsidP="00AF183E">
      <w:pPr>
        <w:tabs>
          <w:tab w:val="left" w:pos="560"/>
        </w:tabs>
        <w:jc w:val="both"/>
        <w:outlineLvl w:val="0"/>
        <w:rPr>
          <w:rFonts w:ascii="Arial" w:hAnsi="Arial" w:cs="Arial"/>
          <w:sz w:val="20"/>
        </w:rPr>
      </w:pPr>
    </w:p>
    <w:p w14:paraId="106E4F0F" w14:textId="77777777" w:rsidR="00AF183E" w:rsidRPr="00FD434E" w:rsidRDefault="00AF183E" w:rsidP="00AF183E">
      <w:pPr>
        <w:ind w:left="426"/>
        <w:rPr>
          <w:rFonts w:ascii="Arial" w:hAnsi="Arial" w:cs="Arial"/>
          <w:sz w:val="20"/>
        </w:rPr>
      </w:pPr>
    </w:p>
    <w:p w14:paraId="72DB9CEE" w14:textId="15C73338" w:rsidR="00AF183E" w:rsidRPr="007F6A33" w:rsidRDefault="007F6A33" w:rsidP="007F6A33">
      <w:pPr>
        <w:tabs>
          <w:tab w:val="left" w:pos="2977"/>
          <w:tab w:val="left" w:pos="5670"/>
          <w:tab w:val="left" w:pos="6663"/>
        </w:tabs>
        <w:ind w:left="426"/>
        <w:jc w:val="both"/>
        <w:rPr>
          <w:rFonts w:ascii="Arial" w:hAnsi="Arial"/>
          <w:i/>
          <w:sz w:val="20"/>
        </w:rPr>
      </w:pPr>
      <w:r w:rsidRPr="00EA6F19">
        <w:rPr>
          <w:rFonts w:ascii="Arial" w:hAnsi="Arial"/>
          <w:i/>
          <w:sz w:val="20"/>
          <w:lang w:val="en-US"/>
        </w:rPr>
        <w:t>For more information:</w:t>
      </w:r>
    </w:p>
    <w:p w14:paraId="6E205649" w14:textId="77777777" w:rsidR="00AF183E" w:rsidRPr="00FD434E" w:rsidRDefault="00AF183E" w:rsidP="00AF183E">
      <w:pPr>
        <w:tabs>
          <w:tab w:val="left" w:pos="567"/>
        </w:tabs>
        <w:ind w:left="426"/>
        <w:jc w:val="both"/>
        <w:outlineLvl w:val="0"/>
        <w:rPr>
          <w:rFonts w:ascii="Arial" w:hAnsi="Arial"/>
          <w:b/>
          <w:sz w:val="20"/>
        </w:rPr>
      </w:pPr>
      <w:r w:rsidRPr="00FD434E">
        <w:rPr>
          <w:rFonts w:ascii="Arial" w:hAnsi="Arial"/>
          <w:b/>
          <w:sz w:val="20"/>
        </w:rPr>
        <w:t>Luca Rossetti</w:t>
      </w:r>
    </w:p>
    <w:p w14:paraId="1E22B546" w14:textId="2DBC3005" w:rsidR="00FD434E" w:rsidRPr="00FD434E" w:rsidRDefault="00AF183E" w:rsidP="00AF183E">
      <w:pPr>
        <w:tabs>
          <w:tab w:val="left" w:pos="560"/>
        </w:tabs>
        <w:ind w:left="426"/>
        <w:jc w:val="both"/>
        <w:outlineLvl w:val="0"/>
        <w:rPr>
          <w:rFonts w:ascii="Arial" w:hAnsi="Arial" w:cs="Arial"/>
          <w:sz w:val="20"/>
        </w:rPr>
      </w:pPr>
      <w:r w:rsidRPr="00FD434E">
        <w:rPr>
          <w:rFonts w:ascii="Arial" w:hAnsi="Arial"/>
          <w:sz w:val="20"/>
        </w:rPr>
        <w:t xml:space="preserve">+39 351 9098189 - </w:t>
      </w:r>
      <w:hyperlink r:id="rId8" w:history="1">
        <w:r w:rsidRPr="00AF183E">
          <w:rPr>
            <w:rStyle w:val="Collegamentoipertestuale"/>
            <w:rFonts w:ascii="Arial" w:hAnsi="Arial"/>
            <w:color w:val="auto"/>
            <w:sz w:val="20"/>
            <w:u w:val="none"/>
          </w:rPr>
          <w:t>press@acimall.com</w:t>
        </w:r>
      </w:hyperlink>
    </w:p>
    <w:sectPr w:rsidR="00FD434E" w:rsidRPr="00FD434E" w:rsidSect="00A935F9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276" w:right="991" w:bottom="0" w:left="1418" w:header="720" w:footer="403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3F3872" w14:textId="77777777" w:rsidR="00B430DC" w:rsidRDefault="00B430DC">
      <w:r>
        <w:separator/>
      </w:r>
    </w:p>
  </w:endnote>
  <w:endnote w:type="continuationSeparator" w:id="0">
    <w:p w14:paraId="25E4C2E5" w14:textId="77777777" w:rsidR="00B430DC" w:rsidRDefault="00B430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eneva">
    <w:charset w:val="00"/>
    <w:family w:val="swiss"/>
    <w:pitch w:val="variable"/>
    <w:sig w:usb0="E00002FF" w:usb1="5200205F" w:usb2="00A0C000" w:usb3="00000000" w:csb0="000001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">
    <w:panose1 w:val="02020603050405020304"/>
    <w:charset w:val="00"/>
    <w:family w:val="auto"/>
    <w:notTrueType/>
    <w:pitch w:val="variable"/>
    <w:sig w:usb0="E00002FF" w:usb1="5000205A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A75BF6" w14:textId="77777777" w:rsidR="00663C99" w:rsidRDefault="00663C99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207FA7CA" w14:textId="77777777" w:rsidR="00663C99" w:rsidRDefault="00663C99">
    <w:pPr>
      <w:pStyle w:val="Pidipagina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5B5DE1" w14:textId="77777777" w:rsidR="00663C99" w:rsidRDefault="00663C99">
    <w:pPr>
      <w:pStyle w:val="Pidipagina"/>
      <w:framePr w:wrap="around" w:vAnchor="text" w:hAnchor="page" w:x="5488" w:y="524"/>
      <w:jc w:val="center"/>
      <w:rPr>
        <w:rStyle w:val="Numeropagina"/>
      </w:rPr>
    </w:pPr>
  </w:p>
  <w:p w14:paraId="6A2D504F" w14:textId="77777777" w:rsidR="00663C99" w:rsidRDefault="00663C99">
    <w:pPr>
      <w:pStyle w:val="Pidipagina"/>
      <w:ind w:right="360"/>
    </w:pPr>
    <w:r>
      <w:t xml:space="preserve">   </w:t>
    </w:r>
  </w:p>
  <w:p w14:paraId="676EE327" w14:textId="196C1161" w:rsidR="00663C99" w:rsidRDefault="00663C99">
    <w:pPr>
      <w:pStyle w:val="Pidipagina"/>
      <w:ind w:right="360"/>
    </w:pPr>
    <w:r>
      <w:t xml:space="preserve">        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BBB1D6" w14:textId="77777777" w:rsidR="00663C99" w:rsidRDefault="00663C99">
    <w:pPr>
      <w:pStyle w:val="Pidipagina"/>
      <w:tabs>
        <w:tab w:val="clear" w:pos="4819"/>
        <w:tab w:val="clear" w:pos="9638"/>
        <w:tab w:val="left" w:pos="9000"/>
      </w:tabs>
      <w:ind w:left="480"/>
      <w:jc w:val="both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5EE70C" w14:textId="77777777" w:rsidR="00B430DC" w:rsidRDefault="00B430DC">
      <w:r>
        <w:separator/>
      </w:r>
    </w:p>
  </w:footnote>
  <w:footnote w:type="continuationSeparator" w:id="0">
    <w:p w14:paraId="4629CC0A" w14:textId="77777777" w:rsidR="00B430DC" w:rsidRDefault="00B430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F0CE48" w14:textId="6DC56FCB" w:rsidR="00663C99" w:rsidRDefault="00663C99">
    <w:pPr>
      <w:pStyle w:val="Intestazione"/>
      <w:ind w:left="360"/>
    </w:pPr>
  </w:p>
  <w:p w14:paraId="302658E1" w14:textId="77777777" w:rsidR="00663C99" w:rsidRDefault="00663C99">
    <w:pPr>
      <w:pStyle w:val="Intestazione"/>
      <w:ind w:left="360"/>
    </w:pPr>
  </w:p>
  <w:p w14:paraId="4A2C7678" w14:textId="77777777" w:rsidR="00663C99" w:rsidRDefault="00663C99">
    <w:pPr>
      <w:pStyle w:val="Intestazione"/>
      <w:ind w:lef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F8B4B7" w14:textId="39D9834C" w:rsidR="00663C99" w:rsidRDefault="00663C99">
    <w:pPr>
      <w:pStyle w:val="Intestazione"/>
    </w:pPr>
    <w:r>
      <w:rPr>
        <w:sz w:val="22"/>
      </w:rPr>
      <w:t xml:space="preserve">       </w:t>
    </w: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79A4C2B"/>
    <w:multiLevelType w:val="hybridMultilevel"/>
    <w:tmpl w:val="C0C490D8"/>
    <w:lvl w:ilvl="0" w:tplc="1E5CF8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E1A03B1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1E18E0C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A6CE9EC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AD24A92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B0C8885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E64CAC9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014E4B1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223CCB8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2" w15:restartNumberingAfterBreak="0">
    <w:nsid w:val="75602B59"/>
    <w:multiLevelType w:val="singleLevel"/>
    <w:tmpl w:val="055A935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num w:numId="1" w16cid:durableId="1848665455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843" w:hanging="283"/>
        </w:pPr>
        <w:rPr>
          <w:rFonts w:ascii="Symbol" w:hAnsi="Symbol" w:hint="default"/>
        </w:rPr>
      </w:lvl>
    </w:lvlOverride>
  </w:num>
  <w:num w:numId="2" w16cid:durableId="2118670742">
    <w:abstractNumId w:val="2"/>
  </w:num>
  <w:num w:numId="3" w16cid:durableId="1602429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embedSystemFonts/>
  <w:proofState w:spelling="clean" w:grammar="clean"/>
  <w:attachedTemplate r:id="rId1"/>
  <w:defaultTabStop w:val="709"/>
  <w:hyphenationZone w:val="283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color="white" stroke="f">
      <v:fill color="white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04E31"/>
    <w:rsid w:val="0001539F"/>
    <w:rsid w:val="0001721B"/>
    <w:rsid w:val="00087FD9"/>
    <w:rsid w:val="00095C56"/>
    <w:rsid w:val="000A33AA"/>
    <w:rsid w:val="000B731F"/>
    <w:rsid w:val="000C05B7"/>
    <w:rsid w:val="000C2E18"/>
    <w:rsid w:val="000C4AD3"/>
    <w:rsid w:val="000C5C5F"/>
    <w:rsid w:val="000E417A"/>
    <w:rsid w:val="000E4BEE"/>
    <w:rsid w:val="000E661F"/>
    <w:rsid w:val="000E7459"/>
    <w:rsid w:val="000F4C0F"/>
    <w:rsid w:val="00104F31"/>
    <w:rsid w:val="001258BE"/>
    <w:rsid w:val="00130D7E"/>
    <w:rsid w:val="00132B8E"/>
    <w:rsid w:val="00140D22"/>
    <w:rsid w:val="00142024"/>
    <w:rsid w:val="001670C8"/>
    <w:rsid w:val="001702AD"/>
    <w:rsid w:val="0017075B"/>
    <w:rsid w:val="00174464"/>
    <w:rsid w:val="00176779"/>
    <w:rsid w:val="0018053C"/>
    <w:rsid w:val="001812CA"/>
    <w:rsid w:val="00181DE3"/>
    <w:rsid w:val="001956B8"/>
    <w:rsid w:val="001A615F"/>
    <w:rsid w:val="001B28A8"/>
    <w:rsid w:val="001B415A"/>
    <w:rsid w:val="001B424B"/>
    <w:rsid w:val="001B57D7"/>
    <w:rsid w:val="001C421C"/>
    <w:rsid w:val="001D79A8"/>
    <w:rsid w:val="001E067F"/>
    <w:rsid w:val="001E6154"/>
    <w:rsid w:val="001E72A3"/>
    <w:rsid w:val="001F0D52"/>
    <w:rsid w:val="001F51B2"/>
    <w:rsid w:val="002042B0"/>
    <w:rsid w:val="00207FBA"/>
    <w:rsid w:val="00210CF8"/>
    <w:rsid w:val="0021649F"/>
    <w:rsid w:val="002178A4"/>
    <w:rsid w:val="00224AB3"/>
    <w:rsid w:val="00232B02"/>
    <w:rsid w:val="002545BF"/>
    <w:rsid w:val="002632E5"/>
    <w:rsid w:val="002650C8"/>
    <w:rsid w:val="00272082"/>
    <w:rsid w:val="00277B4A"/>
    <w:rsid w:val="00286B70"/>
    <w:rsid w:val="00291DE3"/>
    <w:rsid w:val="00294EDD"/>
    <w:rsid w:val="002A632E"/>
    <w:rsid w:val="002A753A"/>
    <w:rsid w:val="002F11D9"/>
    <w:rsid w:val="002F5769"/>
    <w:rsid w:val="00304533"/>
    <w:rsid w:val="003056E4"/>
    <w:rsid w:val="00305B4C"/>
    <w:rsid w:val="00307139"/>
    <w:rsid w:val="00313979"/>
    <w:rsid w:val="00326C06"/>
    <w:rsid w:val="0034316E"/>
    <w:rsid w:val="00345D05"/>
    <w:rsid w:val="00347155"/>
    <w:rsid w:val="00365C65"/>
    <w:rsid w:val="00366693"/>
    <w:rsid w:val="00366E20"/>
    <w:rsid w:val="00381921"/>
    <w:rsid w:val="003838AD"/>
    <w:rsid w:val="003A4C32"/>
    <w:rsid w:val="003A73F0"/>
    <w:rsid w:val="003B059D"/>
    <w:rsid w:val="003B109F"/>
    <w:rsid w:val="003D3CCC"/>
    <w:rsid w:val="003E04F4"/>
    <w:rsid w:val="003F1E14"/>
    <w:rsid w:val="003F371B"/>
    <w:rsid w:val="0040219C"/>
    <w:rsid w:val="0040679A"/>
    <w:rsid w:val="00406AB7"/>
    <w:rsid w:val="00416C21"/>
    <w:rsid w:val="00434C7E"/>
    <w:rsid w:val="00440FDD"/>
    <w:rsid w:val="004525E1"/>
    <w:rsid w:val="004559D3"/>
    <w:rsid w:val="00463561"/>
    <w:rsid w:val="00471328"/>
    <w:rsid w:val="004720FA"/>
    <w:rsid w:val="004B203B"/>
    <w:rsid w:val="004B3B06"/>
    <w:rsid w:val="004C6D07"/>
    <w:rsid w:val="004E3E0D"/>
    <w:rsid w:val="004E3F45"/>
    <w:rsid w:val="004E619F"/>
    <w:rsid w:val="004E64E2"/>
    <w:rsid w:val="004F1C0F"/>
    <w:rsid w:val="00524EB0"/>
    <w:rsid w:val="00532AB7"/>
    <w:rsid w:val="00536329"/>
    <w:rsid w:val="00544E4C"/>
    <w:rsid w:val="00553F39"/>
    <w:rsid w:val="00556E60"/>
    <w:rsid w:val="00566630"/>
    <w:rsid w:val="00583DA9"/>
    <w:rsid w:val="00585084"/>
    <w:rsid w:val="005A2C26"/>
    <w:rsid w:val="005A336D"/>
    <w:rsid w:val="005B514B"/>
    <w:rsid w:val="005C3375"/>
    <w:rsid w:val="005C788E"/>
    <w:rsid w:val="005D4C94"/>
    <w:rsid w:val="005D6503"/>
    <w:rsid w:val="005D6F46"/>
    <w:rsid w:val="005D7B5B"/>
    <w:rsid w:val="005E5302"/>
    <w:rsid w:val="005F3EEA"/>
    <w:rsid w:val="005F5DB2"/>
    <w:rsid w:val="00623BEE"/>
    <w:rsid w:val="0063567C"/>
    <w:rsid w:val="00635F6C"/>
    <w:rsid w:val="00663C99"/>
    <w:rsid w:val="0066775B"/>
    <w:rsid w:val="00671AAE"/>
    <w:rsid w:val="0068221D"/>
    <w:rsid w:val="006826C3"/>
    <w:rsid w:val="00683168"/>
    <w:rsid w:val="0069229C"/>
    <w:rsid w:val="006A64E2"/>
    <w:rsid w:val="006B1101"/>
    <w:rsid w:val="006C02B5"/>
    <w:rsid w:val="00705D68"/>
    <w:rsid w:val="007122E6"/>
    <w:rsid w:val="00720B7D"/>
    <w:rsid w:val="00724BEA"/>
    <w:rsid w:val="0073342A"/>
    <w:rsid w:val="00736007"/>
    <w:rsid w:val="007443A2"/>
    <w:rsid w:val="00757DE8"/>
    <w:rsid w:val="00760EDC"/>
    <w:rsid w:val="007611D0"/>
    <w:rsid w:val="007678C6"/>
    <w:rsid w:val="00773075"/>
    <w:rsid w:val="00782761"/>
    <w:rsid w:val="00786BB1"/>
    <w:rsid w:val="007A6D51"/>
    <w:rsid w:val="007B2DBD"/>
    <w:rsid w:val="007B3109"/>
    <w:rsid w:val="007B4E57"/>
    <w:rsid w:val="007B72D5"/>
    <w:rsid w:val="007D28CA"/>
    <w:rsid w:val="007E06BB"/>
    <w:rsid w:val="007E5480"/>
    <w:rsid w:val="007F6A33"/>
    <w:rsid w:val="00800F6A"/>
    <w:rsid w:val="0080513A"/>
    <w:rsid w:val="00807D67"/>
    <w:rsid w:val="008164AA"/>
    <w:rsid w:val="00840088"/>
    <w:rsid w:val="00840B4A"/>
    <w:rsid w:val="00865C7A"/>
    <w:rsid w:val="0087060B"/>
    <w:rsid w:val="0088052D"/>
    <w:rsid w:val="008850FB"/>
    <w:rsid w:val="00891675"/>
    <w:rsid w:val="008A5509"/>
    <w:rsid w:val="008C261D"/>
    <w:rsid w:val="008C32CC"/>
    <w:rsid w:val="008C3ACA"/>
    <w:rsid w:val="008E1789"/>
    <w:rsid w:val="008E444A"/>
    <w:rsid w:val="008E5DBF"/>
    <w:rsid w:val="008E606A"/>
    <w:rsid w:val="008F01AF"/>
    <w:rsid w:val="008F4FEF"/>
    <w:rsid w:val="00901E8C"/>
    <w:rsid w:val="009024DF"/>
    <w:rsid w:val="00904BBD"/>
    <w:rsid w:val="00905D70"/>
    <w:rsid w:val="00917407"/>
    <w:rsid w:val="009201D1"/>
    <w:rsid w:val="00927BEF"/>
    <w:rsid w:val="00932B59"/>
    <w:rsid w:val="00932BC6"/>
    <w:rsid w:val="00941E08"/>
    <w:rsid w:val="00946C6A"/>
    <w:rsid w:val="00947D81"/>
    <w:rsid w:val="00960785"/>
    <w:rsid w:val="009703DB"/>
    <w:rsid w:val="00972D3C"/>
    <w:rsid w:val="00975B1A"/>
    <w:rsid w:val="0097719C"/>
    <w:rsid w:val="00985C7E"/>
    <w:rsid w:val="00990459"/>
    <w:rsid w:val="00991CBC"/>
    <w:rsid w:val="00992E35"/>
    <w:rsid w:val="00993D0D"/>
    <w:rsid w:val="009C5B81"/>
    <w:rsid w:val="009C6F87"/>
    <w:rsid w:val="009D137E"/>
    <w:rsid w:val="009D300B"/>
    <w:rsid w:val="009E5E5C"/>
    <w:rsid w:val="00A018A0"/>
    <w:rsid w:val="00A029E7"/>
    <w:rsid w:val="00A108DB"/>
    <w:rsid w:val="00A24050"/>
    <w:rsid w:val="00A24489"/>
    <w:rsid w:val="00A2581D"/>
    <w:rsid w:val="00A31A41"/>
    <w:rsid w:val="00A60694"/>
    <w:rsid w:val="00A76779"/>
    <w:rsid w:val="00A86E2C"/>
    <w:rsid w:val="00A935F9"/>
    <w:rsid w:val="00AB77FB"/>
    <w:rsid w:val="00AE006E"/>
    <w:rsid w:val="00AE1B9E"/>
    <w:rsid w:val="00AE51EF"/>
    <w:rsid w:val="00AF183E"/>
    <w:rsid w:val="00AF50EF"/>
    <w:rsid w:val="00B024BA"/>
    <w:rsid w:val="00B0713B"/>
    <w:rsid w:val="00B07D0B"/>
    <w:rsid w:val="00B329E2"/>
    <w:rsid w:val="00B33B48"/>
    <w:rsid w:val="00B33F4A"/>
    <w:rsid w:val="00B430DC"/>
    <w:rsid w:val="00B47656"/>
    <w:rsid w:val="00B50A3F"/>
    <w:rsid w:val="00B657A0"/>
    <w:rsid w:val="00B65A3E"/>
    <w:rsid w:val="00B72A34"/>
    <w:rsid w:val="00B7327C"/>
    <w:rsid w:val="00B77080"/>
    <w:rsid w:val="00B9502F"/>
    <w:rsid w:val="00B9584F"/>
    <w:rsid w:val="00BC3417"/>
    <w:rsid w:val="00BC547E"/>
    <w:rsid w:val="00BD40BD"/>
    <w:rsid w:val="00BD4D44"/>
    <w:rsid w:val="00BD4E9A"/>
    <w:rsid w:val="00BF2118"/>
    <w:rsid w:val="00BF35BC"/>
    <w:rsid w:val="00C04852"/>
    <w:rsid w:val="00C07008"/>
    <w:rsid w:val="00C10DE6"/>
    <w:rsid w:val="00C12950"/>
    <w:rsid w:val="00C313EC"/>
    <w:rsid w:val="00C41993"/>
    <w:rsid w:val="00C435AF"/>
    <w:rsid w:val="00C441DA"/>
    <w:rsid w:val="00C54EF3"/>
    <w:rsid w:val="00C55169"/>
    <w:rsid w:val="00C60722"/>
    <w:rsid w:val="00C639FC"/>
    <w:rsid w:val="00C91D54"/>
    <w:rsid w:val="00C96A6C"/>
    <w:rsid w:val="00CB70B1"/>
    <w:rsid w:val="00CE4D8E"/>
    <w:rsid w:val="00CE6324"/>
    <w:rsid w:val="00CE7C6D"/>
    <w:rsid w:val="00CF0739"/>
    <w:rsid w:val="00D0397B"/>
    <w:rsid w:val="00D04850"/>
    <w:rsid w:val="00D0677A"/>
    <w:rsid w:val="00D10A5D"/>
    <w:rsid w:val="00D16C13"/>
    <w:rsid w:val="00D32BC8"/>
    <w:rsid w:val="00D42442"/>
    <w:rsid w:val="00D47E18"/>
    <w:rsid w:val="00D7134F"/>
    <w:rsid w:val="00D91B3F"/>
    <w:rsid w:val="00DB7438"/>
    <w:rsid w:val="00DC53CF"/>
    <w:rsid w:val="00DD038E"/>
    <w:rsid w:val="00DE3BC7"/>
    <w:rsid w:val="00DE3DFA"/>
    <w:rsid w:val="00DF2A1E"/>
    <w:rsid w:val="00E04E31"/>
    <w:rsid w:val="00E07556"/>
    <w:rsid w:val="00E12D44"/>
    <w:rsid w:val="00E2671D"/>
    <w:rsid w:val="00E26F68"/>
    <w:rsid w:val="00E452B2"/>
    <w:rsid w:val="00E6024D"/>
    <w:rsid w:val="00E60591"/>
    <w:rsid w:val="00E65415"/>
    <w:rsid w:val="00E655B9"/>
    <w:rsid w:val="00E66C6E"/>
    <w:rsid w:val="00EA05AD"/>
    <w:rsid w:val="00EA6F19"/>
    <w:rsid w:val="00ED118D"/>
    <w:rsid w:val="00EE1FBB"/>
    <w:rsid w:val="00EF3187"/>
    <w:rsid w:val="00F00863"/>
    <w:rsid w:val="00F01932"/>
    <w:rsid w:val="00F15D95"/>
    <w:rsid w:val="00F233F1"/>
    <w:rsid w:val="00F259BE"/>
    <w:rsid w:val="00F30178"/>
    <w:rsid w:val="00F3539D"/>
    <w:rsid w:val="00F379D8"/>
    <w:rsid w:val="00F64584"/>
    <w:rsid w:val="00F76DF4"/>
    <w:rsid w:val="00FB5D0B"/>
    <w:rsid w:val="00FD043C"/>
    <w:rsid w:val="00FD434E"/>
    <w:rsid w:val="00FF2E86"/>
    <w:rsid w:val="00FF3313"/>
    <w:rsid w:val="00FF7EFD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fillcolor="white" stroke="f">
      <v:fill color="white"/>
      <v:stroke on="f"/>
    </o:shapedefaults>
    <o:shapelayout v:ext="edit">
      <o:idmap v:ext="edit" data="2"/>
    </o:shapelayout>
  </w:shapeDefaults>
  <w:doNotEmbedSmartTags/>
  <w:decimalSymbol w:val=","/>
  <w:listSeparator w:val=";"/>
  <w14:docId w14:val="62284E42"/>
  <w15:docId w15:val="{327E0684-704D-4243-8444-C53180628F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heading 5" w:semiHidden="1" w:unhideWhenUsed="1"/>
    <w:lsdException w:name="heading 9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2F11D9"/>
    <w:rPr>
      <w:sz w:val="24"/>
    </w:rPr>
  </w:style>
  <w:style w:type="paragraph" w:styleId="Titolo1">
    <w:name w:val="heading 1"/>
    <w:basedOn w:val="Normale"/>
    <w:next w:val="Normale"/>
    <w:qFormat/>
    <w:rsid w:val="002F11D9"/>
    <w:pPr>
      <w:keepNext/>
      <w:outlineLvl w:val="0"/>
    </w:pPr>
    <w:rPr>
      <w:rFonts w:ascii="Helvetica" w:hAnsi="Helvetica"/>
      <w:b/>
      <w:sz w:val="16"/>
    </w:rPr>
  </w:style>
  <w:style w:type="paragraph" w:styleId="Titolo2">
    <w:name w:val="heading 2"/>
    <w:basedOn w:val="Normale"/>
    <w:next w:val="Normale"/>
    <w:qFormat/>
    <w:rsid w:val="002F11D9"/>
    <w:pPr>
      <w:keepNext/>
      <w:spacing w:before="240" w:after="60"/>
      <w:outlineLvl w:val="1"/>
    </w:pPr>
    <w:rPr>
      <w:rFonts w:ascii="Helvetica" w:hAnsi="Helvetica"/>
      <w:b/>
      <w:i/>
    </w:rPr>
  </w:style>
  <w:style w:type="paragraph" w:styleId="Titolo3">
    <w:name w:val="heading 3"/>
    <w:basedOn w:val="Normale"/>
    <w:next w:val="Normale"/>
    <w:qFormat/>
    <w:rsid w:val="002F11D9"/>
    <w:pPr>
      <w:keepNext/>
      <w:jc w:val="both"/>
      <w:outlineLvl w:val="2"/>
    </w:pPr>
    <w:rPr>
      <w:b/>
      <w:sz w:val="28"/>
    </w:rPr>
  </w:style>
  <w:style w:type="paragraph" w:styleId="Titolo4">
    <w:name w:val="heading 4"/>
    <w:basedOn w:val="Normale"/>
    <w:next w:val="Normale"/>
    <w:qFormat/>
    <w:rsid w:val="002F11D9"/>
    <w:pPr>
      <w:keepNext/>
      <w:ind w:left="480"/>
      <w:outlineLvl w:val="3"/>
    </w:pPr>
    <w:rPr>
      <w:rFonts w:ascii="Arial" w:hAnsi="Arial"/>
      <w:b/>
      <w:sz w:val="22"/>
    </w:rPr>
  </w:style>
  <w:style w:type="paragraph" w:styleId="Titolo5">
    <w:name w:val="heading 5"/>
    <w:basedOn w:val="Normale"/>
    <w:next w:val="Normale"/>
    <w:qFormat/>
    <w:rsid w:val="002F11D9"/>
    <w:pPr>
      <w:keepNext/>
      <w:ind w:left="480"/>
      <w:jc w:val="both"/>
      <w:outlineLvl w:val="4"/>
    </w:pPr>
    <w:rPr>
      <w:rFonts w:ascii="Arial" w:hAnsi="Arial"/>
      <w:b/>
      <w:color w:val="000000"/>
      <w:sz w:val="22"/>
    </w:rPr>
  </w:style>
  <w:style w:type="paragraph" w:styleId="Titolo6">
    <w:name w:val="heading 6"/>
    <w:basedOn w:val="Normale"/>
    <w:next w:val="Normale"/>
    <w:qFormat/>
    <w:rsid w:val="002F11D9"/>
    <w:pPr>
      <w:keepNext/>
      <w:jc w:val="both"/>
      <w:outlineLvl w:val="5"/>
    </w:pPr>
    <w:rPr>
      <w:rFonts w:eastAsia="Arial Unicode MS"/>
    </w:rPr>
  </w:style>
  <w:style w:type="paragraph" w:styleId="Titolo7">
    <w:name w:val="heading 7"/>
    <w:basedOn w:val="Normale"/>
    <w:next w:val="Normale"/>
    <w:qFormat/>
    <w:rsid w:val="002F11D9"/>
    <w:pPr>
      <w:keepNext/>
      <w:tabs>
        <w:tab w:val="left" w:pos="3480"/>
        <w:tab w:val="left" w:pos="5640"/>
      </w:tabs>
      <w:ind w:left="480"/>
      <w:jc w:val="both"/>
      <w:outlineLvl w:val="6"/>
    </w:pPr>
    <w:rPr>
      <w:rFonts w:ascii="Arial" w:hAnsi="Arial"/>
      <w:b/>
      <w:sz w:val="20"/>
    </w:rPr>
  </w:style>
  <w:style w:type="paragraph" w:styleId="Titolo8">
    <w:name w:val="heading 8"/>
    <w:basedOn w:val="Normale"/>
    <w:next w:val="Normale"/>
    <w:qFormat/>
    <w:rsid w:val="002F11D9"/>
    <w:pPr>
      <w:keepNext/>
      <w:ind w:left="480"/>
      <w:jc w:val="both"/>
      <w:outlineLvl w:val="7"/>
    </w:pPr>
    <w:rPr>
      <w:rFonts w:ascii="Arial" w:hAnsi="Arial"/>
      <w:b/>
      <w:color w:val="FF0000"/>
    </w:rPr>
  </w:style>
  <w:style w:type="paragraph" w:styleId="Titolo9">
    <w:name w:val="heading 9"/>
    <w:basedOn w:val="Normale"/>
    <w:next w:val="Normale"/>
    <w:qFormat/>
    <w:rsid w:val="002F11D9"/>
    <w:pPr>
      <w:keepNext/>
      <w:tabs>
        <w:tab w:val="left" w:pos="3480"/>
        <w:tab w:val="left" w:pos="5640"/>
      </w:tabs>
      <w:ind w:left="480"/>
      <w:jc w:val="both"/>
      <w:outlineLvl w:val="8"/>
    </w:pPr>
    <w:rPr>
      <w:rFonts w:ascii="Arial" w:hAnsi="Arial"/>
      <w:b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2F11D9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2F11D9"/>
    <w:pPr>
      <w:tabs>
        <w:tab w:val="center" w:pos="4819"/>
        <w:tab w:val="right" w:pos="9638"/>
      </w:tabs>
    </w:pPr>
  </w:style>
  <w:style w:type="paragraph" w:styleId="Titolo">
    <w:name w:val="Title"/>
    <w:basedOn w:val="Normale"/>
    <w:qFormat/>
    <w:rsid w:val="002F11D9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center"/>
    </w:pPr>
    <w:rPr>
      <w:rFonts w:ascii="Arial" w:hAnsi="Arial"/>
      <w:b/>
      <w:sz w:val="28"/>
      <w:u w:val="single"/>
    </w:rPr>
  </w:style>
  <w:style w:type="paragraph" w:styleId="Corpotesto">
    <w:name w:val="Body Text"/>
    <w:basedOn w:val="Normale"/>
    <w:rsid w:val="002F11D9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both"/>
    </w:pPr>
    <w:rPr>
      <w:rFonts w:ascii="Arial" w:hAnsi="Arial"/>
      <w:sz w:val="28"/>
    </w:rPr>
  </w:style>
  <w:style w:type="paragraph" w:styleId="Corpodeltesto2">
    <w:name w:val="Body Text 2"/>
    <w:basedOn w:val="Normale"/>
    <w:rsid w:val="002F11D9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</w:pPr>
    <w:rPr>
      <w:rFonts w:ascii="Arial" w:hAnsi="Arial"/>
      <w:sz w:val="28"/>
    </w:rPr>
  </w:style>
  <w:style w:type="paragraph" w:customStyle="1" w:styleId="L">
    <w:name w:val="L"/>
    <w:basedOn w:val="Normale"/>
    <w:rsid w:val="002F11D9"/>
    <w:pPr>
      <w:ind w:right="2126"/>
      <w:jc w:val="both"/>
    </w:pPr>
    <w:rPr>
      <w:rFonts w:ascii="Arial" w:hAnsi="Arial"/>
    </w:rPr>
  </w:style>
  <w:style w:type="character" w:styleId="Numeropagina">
    <w:name w:val="page number"/>
    <w:basedOn w:val="Carpredefinitoparagrafo"/>
    <w:rsid w:val="002F11D9"/>
  </w:style>
  <w:style w:type="character" w:styleId="Collegamentoipertestuale">
    <w:name w:val="Hyperlink"/>
    <w:basedOn w:val="Carpredefinitoparagrafo"/>
    <w:rsid w:val="002F11D9"/>
    <w:rPr>
      <w:color w:val="0000FF"/>
      <w:u w:val="single"/>
    </w:rPr>
  </w:style>
  <w:style w:type="paragraph" w:styleId="Mappadocumento">
    <w:name w:val="Document Map"/>
    <w:basedOn w:val="Normale"/>
    <w:semiHidden/>
    <w:rsid w:val="002F11D9"/>
    <w:pPr>
      <w:shd w:val="clear" w:color="auto" w:fill="000080"/>
    </w:pPr>
    <w:rPr>
      <w:rFonts w:ascii="Geneva" w:hAnsi="Geneva"/>
    </w:rPr>
  </w:style>
  <w:style w:type="paragraph" w:styleId="Testodelblocco">
    <w:name w:val="Block Text"/>
    <w:basedOn w:val="Normale"/>
    <w:rsid w:val="002F11D9"/>
    <w:pPr>
      <w:ind w:left="360" w:right="-82"/>
      <w:jc w:val="both"/>
    </w:pPr>
    <w:rPr>
      <w:rFonts w:ascii="Arial" w:hAnsi="Arial"/>
      <w:b/>
    </w:rPr>
  </w:style>
  <w:style w:type="paragraph" w:styleId="Rientrocorpodeltesto">
    <w:name w:val="Body Text Indent"/>
    <w:basedOn w:val="Normale"/>
    <w:rsid w:val="002F11D9"/>
    <w:pPr>
      <w:ind w:left="360"/>
      <w:jc w:val="both"/>
    </w:pPr>
    <w:rPr>
      <w:rFonts w:ascii="Arial" w:hAnsi="Arial"/>
      <w:sz w:val="22"/>
    </w:rPr>
  </w:style>
  <w:style w:type="paragraph" w:styleId="Corpodeltesto3">
    <w:name w:val="Body Text 3"/>
    <w:basedOn w:val="Normale"/>
    <w:rsid w:val="002F11D9"/>
    <w:pPr>
      <w:jc w:val="both"/>
    </w:pPr>
    <w:rPr>
      <w:rFonts w:ascii="Arial" w:hAnsi="Arial"/>
      <w:color w:val="000000"/>
      <w:sz w:val="22"/>
    </w:rPr>
  </w:style>
  <w:style w:type="paragraph" w:styleId="Rientrocorpodeltesto2">
    <w:name w:val="Body Text Indent 2"/>
    <w:basedOn w:val="Normale"/>
    <w:rsid w:val="002F11D9"/>
    <w:pPr>
      <w:ind w:left="480"/>
      <w:jc w:val="both"/>
    </w:pPr>
    <w:rPr>
      <w:rFonts w:ascii="Arial" w:hAnsi="Arial"/>
      <w:color w:val="000000"/>
      <w:sz w:val="22"/>
    </w:rPr>
  </w:style>
  <w:style w:type="paragraph" w:styleId="Rientrocorpodeltesto3">
    <w:name w:val="Body Text Indent 3"/>
    <w:basedOn w:val="Normale"/>
    <w:rsid w:val="002F11D9"/>
    <w:pPr>
      <w:ind w:left="480"/>
      <w:jc w:val="both"/>
    </w:pPr>
    <w:rPr>
      <w:rFonts w:ascii="Arial" w:hAnsi="Arial"/>
      <w:sz w:val="20"/>
    </w:rPr>
  </w:style>
  <w:style w:type="paragraph" w:styleId="Sottotitolo">
    <w:name w:val="Subtitle"/>
    <w:basedOn w:val="Normale"/>
    <w:qFormat/>
    <w:rsid w:val="002F11D9"/>
    <w:pPr>
      <w:spacing w:after="60"/>
      <w:jc w:val="center"/>
      <w:outlineLvl w:val="1"/>
    </w:pPr>
    <w:rPr>
      <w:rFonts w:ascii="Arial" w:hAnsi="Arial"/>
    </w:rPr>
  </w:style>
  <w:style w:type="paragraph" w:styleId="Testofumetto">
    <w:name w:val="Balloon Text"/>
    <w:basedOn w:val="Normale"/>
    <w:semiHidden/>
    <w:rsid w:val="00E04E31"/>
    <w:rPr>
      <w:rFonts w:ascii="Lucida Grande" w:hAnsi="Lucida Grande"/>
      <w:sz w:val="18"/>
      <w:szCs w:val="18"/>
    </w:rPr>
  </w:style>
  <w:style w:type="character" w:customStyle="1" w:styleId="col1">
    <w:name w:val="col1"/>
    <w:basedOn w:val="Carpredefinitoparagrafo"/>
    <w:rsid w:val="00E14275"/>
  </w:style>
  <w:style w:type="paragraph" w:styleId="Nessunaspaziatura">
    <w:name w:val="No Spacing"/>
    <w:uiPriority w:val="1"/>
    <w:semiHidden/>
    <w:qFormat/>
    <w:rsid w:val="00DA137C"/>
    <w:rPr>
      <w:rFonts w:ascii="Calibri" w:eastAsia="Calibri" w:hAnsi="Calibri"/>
      <w:sz w:val="22"/>
      <w:szCs w:val="22"/>
      <w:lang w:eastAsia="en-US"/>
    </w:rPr>
  </w:style>
  <w:style w:type="paragraph" w:styleId="Paragrafoelenco">
    <w:name w:val="List Paragraph"/>
    <w:basedOn w:val="Normale"/>
    <w:uiPriority w:val="34"/>
    <w:qFormat/>
    <w:rsid w:val="0011315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US" w:eastAsia="en-US"/>
    </w:rPr>
  </w:style>
  <w:style w:type="paragraph" w:styleId="NormaleWeb">
    <w:name w:val="Normal (Web)"/>
    <w:basedOn w:val="Normale"/>
    <w:uiPriority w:val="99"/>
    <w:rsid w:val="00254CF9"/>
    <w:pPr>
      <w:spacing w:beforeLines="1" w:afterLines="1"/>
    </w:pPr>
    <w:rPr>
      <w:rFonts w:ascii="Times" w:eastAsia="Cambria" w:hAnsi="Times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920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3931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783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2818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384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ess@acimall.com" TargetMode="Externa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DOWS\Application%20Data\Microsoft\Modelli\fax-acimall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fax-acimall</Template>
  <TotalTime>0</TotalTime>
  <Pages>1</Pages>
  <Words>515</Words>
  <Characters>2820</Characters>
  <Application>Microsoft Office Word</Application>
  <DocSecurity>0</DocSecurity>
  <Lines>64</Lines>
  <Paragraphs>30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Associazione costruttori</vt:lpstr>
      <vt:lpstr>Associazione costruttori</vt:lpstr>
    </vt:vector>
  </TitlesOfParts>
  <Company/>
  <LinksUpToDate>false</LinksUpToDate>
  <CharactersWithSpaces>3305</CharactersWithSpaces>
  <SharedDoc>false</SharedDoc>
  <HLinks>
    <vt:vector size="24" baseType="variant">
      <vt:variant>
        <vt:i4>983080</vt:i4>
      </vt:variant>
      <vt:variant>
        <vt:i4>0</vt:i4>
      </vt:variant>
      <vt:variant>
        <vt:i4>0</vt:i4>
      </vt:variant>
      <vt:variant>
        <vt:i4>5</vt:i4>
      </vt:variant>
      <vt:variant>
        <vt:lpwstr>mailto:press@acimall.com</vt:lpwstr>
      </vt:variant>
      <vt:variant>
        <vt:lpwstr/>
      </vt:variant>
      <vt:variant>
        <vt:i4>8126491</vt:i4>
      </vt:variant>
      <vt:variant>
        <vt:i4>6198</vt:i4>
      </vt:variant>
      <vt:variant>
        <vt:i4>1026</vt:i4>
      </vt:variant>
      <vt:variant>
        <vt:i4>1</vt:i4>
      </vt:variant>
      <vt:variant>
        <vt:lpwstr>ACIMALL carta intestata</vt:lpwstr>
      </vt:variant>
      <vt:variant>
        <vt:lpwstr/>
      </vt:variant>
      <vt:variant>
        <vt:i4>6291547</vt:i4>
      </vt:variant>
      <vt:variant>
        <vt:i4>6228</vt:i4>
      </vt:variant>
      <vt:variant>
        <vt:i4>1027</vt:i4>
      </vt:variant>
      <vt:variant>
        <vt:i4>1</vt:i4>
      </vt:variant>
      <vt:variant>
        <vt:lpwstr>LOGO_CONFINDUSTRIA</vt:lpwstr>
      </vt:variant>
      <vt:variant>
        <vt:lpwstr/>
      </vt:variant>
      <vt:variant>
        <vt:i4>8126491</vt:i4>
      </vt:variant>
      <vt:variant>
        <vt:i4>6239</vt:i4>
      </vt:variant>
      <vt:variant>
        <vt:i4>1025</vt:i4>
      </vt:variant>
      <vt:variant>
        <vt:i4>1</vt:i4>
      </vt:variant>
      <vt:variant>
        <vt:lpwstr>ACIMALL carta intestata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Associazione costruttori</dc:title>
  <dc:subject/>
  <dc:creator>. .</dc:creator>
  <cp:keywords/>
  <cp:lastModifiedBy>Corrado Dal Corno</cp:lastModifiedBy>
  <cp:revision>3</cp:revision>
  <cp:lastPrinted>2022-05-05T08:21:00Z</cp:lastPrinted>
  <dcterms:created xsi:type="dcterms:W3CDTF">2022-10-09T10:13:00Z</dcterms:created>
  <dcterms:modified xsi:type="dcterms:W3CDTF">2022-10-09T10:19:00Z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-1843729638</vt:i4>
  </property>
  <property fmtid="{D5CDD505-2E9C-101B-9397-08002B2CF9AE}" pid="3" name="_EmailSubject">
    <vt:lpwstr>COMUNICATO STAMPA 5/2003</vt:lpwstr>
  </property>
  <property fmtid="{D5CDD505-2E9C-101B-9397-08002B2CF9AE}" pid="4" name="_AuthorEmail">
    <vt:lpwstr>LC@Costalev.com</vt:lpwstr>
  </property>
  <property fmtid="{D5CDD505-2E9C-101B-9397-08002B2CF9AE}" pid="5" name="_AuthorEmailDisplayName">
    <vt:lpwstr>Luciano Costa</vt:lpwstr>
  </property>
  <property fmtid="{D5CDD505-2E9C-101B-9397-08002B2CF9AE}" pid="6" name="_ReviewingToolsShownOnce">
    <vt:lpwstr/>
  </property>
</Properties>
</file>